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highlight w:val="none"/>
        </w:rPr>
      </w:pPr>
      <w:r>
        <w:rPr>
          <w:rFonts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spacing w:after="240" w:line="600" w:lineRule="auto"/>
        <w:rPr>
          <w:rFonts w:hint="eastAsia" w:ascii="宋体" w:hAnsi="宋体"/>
          <w:b/>
          <w:color w:val="000000" w:themeColor="text1"/>
          <w:sz w:val="60"/>
          <w:szCs w:val="60"/>
          <w:highlight w:val="none"/>
          <w14:textFill>
            <w14:solidFill>
              <w14:schemeClr w14:val="tx1"/>
            </w14:solidFill>
          </w14:textFill>
        </w:rPr>
      </w:pPr>
      <w:r>
        <w:rPr>
          <w:rFonts w:ascii="宋体" w:hAnsi="宋体"/>
          <w:b/>
          <w:color w:val="000000" w:themeColor="text1"/>
          <w:spacing w:val="114"/>
          <w:sz w:val="60"/>
          <w:szCs w:val="60"/>
          <w:highlight w:val="none"/>
          <w14:textFill>
            <w14:solidFill>
              <w14:schemeClr w14:val="tx1"/>
            </w14:solidFill>
          </w14:textFill>
        </w:rPr>
        <w:t xml:space="preserve">常州市政府采购项</w:t>
      </w:r>
      <w:r>
        <w:rPr>
          <w:rFonts w:ascii="宋体" w:hAnsi="宋体"/>
          <w:b/>
          <w:color w:val="000000" w:themeColor="text1"/>
          <w:sz w:val="60"/>
          <w:szCs w:val="60"/>
          <w:highlight w:val="none"/>
          <w14:textFill>
            <w14:solidFill>
              <w14:schemeClr w14:val="tx1"/>
            </w14:solidFill>
          </w14:textFill>
        </w:rPr>
        <w:t xml:space="preserve">目</w:t>
      </w:r>
      <w:r/>
    </w:p>
    <w:p>
      <w:pPr>
        <w:jc w:val="center"/>
        <w:spacing w:after="240" w:line="600" w:lineRule="auto"/>
        <w:rPr>
          <w:rFonts w:hint="eastAsia" w:ascii="宋体" w:hAnsi="宋体"/>
          <w:b/>
          <w:color w:val="000000" w:themeColor="text1"/>
          <w:sz w:val="60"/>
          <w:szCs w:val="60"/>
          <w:highlight w:val="none"/>
          <w14:textFill>
            <w14:solidFill>
              <w14:schemeClr w14:val="tx1"/>
            </w14:solidFill>
          </w14:textFill>
        </w:rPr>
      </w:pPr>
      <w:r>
        <w:rPr>
          <w:rFonts w:hint="eastAsia" w:ascii="宋体" w:hAnsi="宋体"/>
          <w:b/>
          <w:color w:val="000000" w:themeColor="text1"/>
          <w:spacing w:val="151"/>
          <w:sz w:val="60"/>
          <w:szCs w:val="60"/>
          <w:highlight w:val="none"/>
          <w14:textFill>
            <w14:solidFill>
              <w14:schemeClr w14:val="tx1"/>
            </w14:solidFill>
          </w14:textFill>
        </w:rPr>
        <w:t xml:space="preserve">公开招标文</w:t>
      </w:r>
      <w:r>
        <w:rPr>
          <w:rFonts w:hint="eastAsia" w:ascii="宋体" w:hAnsi="宋体"/>
          <w:b/>
          <w:color w:val="000000" w:themeColor="text1"/>
          <w:spacing w:val="4"/>
          <w:sz w:val="60"/>
          <w:szCs w:val="60"/>
          <w:highlight w:val="none"/>
          <w14:textFill>
            <w14:solidFill>
              <w14:schemeClr w14:val="tx1"/>
            </w14:solidFill>
          </w14:textFill>
        </w:rPr>
        <w:t xml:space="preserve">件</w:t>
      </w:r>
      <w:r/>
    </w:p>
    <w:p>
      <w:pPr>
        <w:jc w:val="left"/>
        <w:spacing w:line="600" w:lineRule="auto"/>
        <w:tabs>
          <w:tab w:val="left" w:pos="5609" w:leader="none"/>
        </w:tabs>
        <w:rPr>
          <w:rFonts w:hint="eastAsia" w:ascii="宋体" w:hAnsi="宋体"/>
          <w:bCs/>
          <w:color w:val="000000" w:themeColor="text1"/>
          <w:sz w:val="36"/>
          <w:szCs w:val="36"/>
          <w:highlight w:val="none"/>
          <w14:textFill>
            <w14:solidFill>
              <w14:schemeClr w14:val="tx1"/>
            </w14:solidFill>
          </w14:textFill>
        </w:rPr>
      </w:pPr>
      <w:r>
        <w:rPr>
          <w:rFonts w:hint="eastAsia" w:ascii="宋体" w:hAnsi="宋体"/>
          <w:bCs/>
          <w:color w:val="000000" w:themeColor="text1"/>
          <w:sz w:val="36"/>
          <w:szCs w:val="36"/>
          <w:highlight w:val="none"/>
          <w14:textFill>
            <w14:solidFill>
              <w14:schemeClr w14:val="tx1"/>
            </w14:solidFill>
          </w14:textFill>
        </w:rPr>
      </w:r>
      <w:r/>
    </w:p>
    <w:p>
      <w:pPr>
        <w:ind w:left="1500" w:hanging="1500"/>
        <w:jc w:val="left"/>
        <w:spacing w:line="600" w:lineRule="auto"/>
        <w:tabs>
          <w:tab w:val="left" w:pos="5609"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项目名称：</w:t>
      </w:r>
      <w:r>
        <w:rPr>
          <w:rFonts w:hint="eastAsia" w:ascii="宋体" w:hAnsi="宋体"/>
          <w:bCs/>
          <w:color w:val="000000" w:themeColor="text1"/>
          <w:sz w:val="36"/>
          <w:szCs w:val="36"/>
          <w:highlight w:val="none"/>
          <w14:textFill>
            <w14:solidFill>
              <w14:schemeClr w14:val="tx1"/>
            </w14:solidFill>
          </w14:textFill>
        </w:rPr>
        <w:t xml:space="preserve">主业务系统硬件扩容及数据库迁移</w:t>
      </w:r>
      <w:r/>
    </w:p>
    <w:p>
      <w:pPr>
        <w:jc w:val="left"/>
        <w:spacing w:line="600" w:lineRule="auto"/>
        <w:tabs>
          <w:tab w:val="left" w:pos="3240" w:leader="none"/>
          <w:tab w:val="left" w:pos="3420" w:leader="none"/>
        </w:tabs>
        <w:rPr>
          <w:bCs/>
          <w:color w:val="0000ff"/>
          <w:sz w:val="36"/>
          <w:szCs w:val="36"/>
          <w:highlight w:val="none"/>
          <w:u w:val="single"/>
        </w:rPr>
      </w:pPr>
      <w:r>
        <w:rPr>
          <w:bCs/>
          <w:sz w:val="36"/>
          <w:szCs w:val="36"/>
          <w:highlight w:val="none"/>
        </w:rPr>
        <w:t xml:space="preserve">项目编号</w:t>
      </w:r>
      <w:r>
        <w:rPr>
          <w:rFonts w:hint="eastAsia"/>
          <w:bCs/>
          <w:sz w:val="36"/>
          <w:szCs w:val="36"/>
          <w:highlight w:val="none"/>
        </w:rPr>
        <w:t xml:space="preserve">/包号</w:t>
      </w:r>
      <w:r>
        <w:rPr>
          <w:bCs/>
          <w:sz w:val="36"/>
          <w:szCs w:val="36"/>
          <w:highlight w:val="none"/>
        </w:rPr>
        <w:t xml:space="preserve">：</w:t>
      </w:r>
      <w:r>
        <w:rPr>
          <w:rFonts w:hint="eastAsia"/>
          <w:bCs/>
          <w:sz w:val="36"/>
          <w:szCs w:val="36"/>
          <w:highlight w:val="none"/>
        </w:rPr>
        <w:t xml:space="preserve">JSZC-320413-HSGS-G2026-0014   </w:t>
      </w:r>
      <w:r/>
    </w:p>
    <w:p>
      <w:pPr>
        <w:jc w:val="left"/>
        <w:spacing w:line="600" w:lineRule="auto"/>
        <w:tabs>
          <w:tab w:val="left" w:pos="3240" w:leader="none"/>
          <w:tab w:val="left" w:pos="3420" w:leader="none"/>
        </w:tabs>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 xml:space="preserve">采 购 人：</w:t>
      </w:r>
      <w:r>
        <w:rPr>
          <w:rFonts w:hint="eastAsia" w:ascii="宋体" w:hAnsi="宋体"/>
          <w:bCs/>
          <w:color w:val="000000" w:themeColor="text1"/>
          <w:sz w:val="36"/>
          <w:szCs w:val="36"/>
          <w:highlight w:val="none"/>
          <w14:textFill>
            <w14:solidFill>
              <w14:schemeClr w14:val="tx1"/>
            </w14:solidFill>
          </w14:textFill>
        </w:rPr>
        <w:t xml:space="preserve">常州市金坛第一人民医院</w:t>
      </w:r>
      <w:r/>
    </w:p>
    <w:p>
      <w:pPr>
        <w:jc w:val="left"/>
        <w:spacing w:line="600" w:lineRule="auto"/>
        <w:tabs>
          <w:tab w:val="left" w:pos="3240" w:leader="none"/>
          <w:tab w:val="left" w:pos="3420" w:leader="none"/>
        </w:tabs>
        <w:rPr>
          <w:rFonts w:hint="eastAsia" w:ascii="宋体" w:hAnsi="宋体" w:eastAsia="宋体"/>
          <w:bCs/>
          <w:color w:val="000000" w:themeColor="text1"/>
          <w:sz w:val="36"/>
          <w:szCs w:val="36"/>
          <w:highlight w:val="none"/>
          <w:lang w:eastAsia="zh-CN"/>
          <w14:textFill>
            <w14:solidFill>
              <w14:schemeClr w14:val="tx1"/>
            </w14:solidFill>
          </w14:textFill>
        </w:rPr>
        <w:sectPr>
          <w:headerReference w:type="default" r:id="rId9"/>
          <w:footerReference w:type="default" r:id="rId18"/>
          <w:footnotePr/>
          <w:endnotePr/>
          <w:type w:val="nextColumn"/>
          <w:pgSz w:w="11906" w:h="16838" w:orient="portrait"/>
          <w:pgMar w:top="1440" w:right="1800" w:bottom="1440" w:left="1800" w:header="851" w:footer="992" w:gutter="0"/>
          <w:cols w:num="1" w:sep="0" w:space="1701" w:equalWidth="1"/>
          <w:docGrid w:linePitch="360"/>
          <w:titlePg/>
        </w:sectPr>
      </w:pPr>
      <w:r>
        <w:rPr>
          <w:rFonts w:hint="eastAsia" w:ascii="宋体" w:hAnsi="宋体"/>
          <w:bCs/>
          <w:color w:val="000000" w:themeColor="text1"/>
          <w:sz w:val="36"/>
          <w:szCs w:val="36"/>
          <w:highlight w:val="none"/>
          <w14:textFill>
            <w14:solidFill>
              <w14:schemeClr w14:val="tx1"/>
            </w14:solidFill>
          </w14:textFill>
        </w:rPr>
        <w:t xml:space="preserve">采购</w:t>
      </w:r>
      <w:r>
        <w:rPr>
          <w:rFonts w:ascii="宋体" w:hAnsi="宋体"/>
          <w:bCs/>
          <w:color w:val="000000" w:themeColor="text1"/>
          <w:sz w:val="36"/>
          <w:szCs w:val="36"/>
          <w:highlight w:val="none"/>
          <w14:textFill>
            <w14:solidFill>
              <w14:schemeClr w14:val="tx1"/>
            </w14:solidFill>
          </w14:textFill>
        </w:rPr>
        <w:t xml:space="preserve">代理机构：</w:t>
      </w:r>
      <w:r>
        <w:rPr>
          <w:rFonts w:hint="eastAsia" w:ascii="宋体" w:hAnsi="宋体"/>
          <w:bCs/>
          <w:color w:val="000000" w:themeColor="text1"/>
          <w:sz w:val="36"/>
          <w:szCs w:val="36"/>
          <w:highlight w:val="none"/>
          <w:lang w:eastAsia="zh-CN"/>
          <w14:textFill>
            <w14:solidFill>
              <w14:schemeClr w14:val="tx1"/>
            </w14:solidFill>
          </w14:textFill>
        </w:rPr>
        <w:t xml:space="preserve">江苏华溯工程项目管理有限公司</w:t>
      </w:r>
      <w:r/>
    </w:p>
    <w:p>
      <w:pPr>
        <w:jc w:val="left"/>
        <w:widowControl/>
        <w:rPr>
          <w:b/>
          <w:bCs/>
          <w:sz w:val="44"/>
          <w:highlight w:val="none"/>
        </w:rPr>
      </w:pPr>
      <w:r>
        <w:rPr>
          <w:b/>
          <w:bCs/>
          <w:sz w:val="44"/>
          <w:highlight w:val="none"/>
        </w:rPr>
      </w:r>
      <w:r/>
    </w:p>
    <w:p>
      <w:pPr>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
    </w:p>
    <w:p>
      <w:pPr>
        <w:pStyle w:val="1273"/>
        <w:rPr>
          <w:rFonts w:ascii="Times New Roman" w:hAnsi="Times New Roman"/>
          <w:b w:val="0"/>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b w:val="0"/>
          <w:highlight w:val="none"/>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rStyle w:val="1070"/>
          <w:rFonts w:hint="eastAsia"/>
          <w:b/>
          <w:color w:val="000000" w:themeColor="text1"/>
          <w:sz w:val="32"/>
          <w:szCs w:val="22"/>
          <w:highlight w:val="none"/>
          <w14:textFill>
            <w14:solidFill>
              <w14:schemeClr w14:val="tx1"/>
            </w14:solidFill>
          </w14:textFill>
        </w:rPr>
        <w:fldChar w:fldCharType="begin"/>
      </w:r>
      <w:r>
        <w:rPr>
          <w:rStyle w:val="1070"/>
          <w:rFonts w:hint="eastAsia"/>
          <w:b/>
          <w:color w:val="000000" w:themeColor="text1"/>
          <w:sz w:val="32"/>
          <w:szCs w:val="22"/>
          <w:highlight w:val="none"/>
          <w14:textFill>
            <w14:solidFill>
              <w14:schemeClr w14:val="tx1"/>
            </w14:solidFill>
          </w14:textFill>
        </w:rPr>
        <w:instrText xml:space="preserve"> TOC \o "1-1" \h \z \u </w:instrText>
      </w:r>
      <w:r>
        <w:rPr>
          <w:rStyle w:val="1070"/>
          <w:rFonts w:hint="eastAsia"/>
          <w:b/>
          <w:color w:val="000000" w:themeColor="text1"/>
          <w:sz w:val="32"/>
          <w:szCs w:val="22"/>
          <w:highlight w:val="none"/>
          <w14:textFill>
            <w14:solidFill>
              <w14:schemeClr w14:val="tx1"/>
            </w14:solidFill>
          </w14:textFill>
        </w:rPr>
        <w:fldChar w:fldCharType="separate"/>
      </w:r>
      <w:r>
        <w:rPr>
          <w:highlight w:val="none"/>
        </w:rPr>
        <w:fldChar w:fldCharType="begin"/>
      </w:r>
      <w:r>
        <w:rPr>
          <w:highlight w:val="none"/>
        </w:rPr>
        <w:instrText xml:space="preserve"> HYPERLINK \l "_Toc123719645"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第一章 投标邀请</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highlight w:val="none"/>
        </w:rPr>
      </w:pPr>
      <w:r>
        <w:rPr>
          <w:highlight w:val="none"/>
        </w:rPr>
        <w:fldChar w:fldCharType="begin"/>
      </w:r>
      <w:r>
        <w:rPr>
          <w:highlight w:val="none"/>
        </w:rPr>
        <w:instrText xml:space="preserve"> HYPERLINK \l "_Toc123719646"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第二章 投标人须知</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"_Toc123719647"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第三章 资格</w:t>
      </w:r>
      <w:r>
        <w:rPr>
          <w:rStyle w:val="1070"/>
          <w:rFonts w:hint="eastAsia"/>
          <w:b/>
          <w:color w:val="000000" w:themeColor="text1"/>
          <w:sz w:val="32"/>
          <w:szCs w:val="22"/>
          <w:highlight w:val="none"/>
          <w14:textFill>
            <w14:solidFill>
              <w14:schemeClr w14:val="tx1"/>
            </w14:solidFill>
          </w14:textFill>
        </w:rPr>
        <w:fldChar w:fldCharType="end"/>
      </w:r>
      <w:r>
        <w:rPr>
          <w:rStyle w:val="1070"/>
          <w:rFonts w:hint="eastAsia"/>
          <w:b/>
          <w:color w:val="000000" w:themeColor="text1"/>
          <w:sz w:val="32"/>
          <w:szCs w:val="22"/>
          <w:highlight w:val="none"/>
          <w14:textFill>
            <w14:solidFill>
              <w14:schemeClr w14:val="tx1"/>
            </w14:solidFill>
          </w14:textFill>
        </w:rPr>
        <w:t xml:space="preserve">审查</w:t>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"_Toc123719647"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第四章 评标程序、评标方法和评标标准</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"_Toc123719648"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第五章 采购需求</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"_Toc123719649"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第六章 拟签订的合同文本</w:t>
      </w:r>
      <w:r>
        <w:rPr>
          <w:rStyle w:val="1070"/>
          <w:rFonts w:hint="eastAsia"/>
          <w:b/>
          <w:color w:val="000000" w:themeColor="text1"/>
          <w:sz w:val="32"/>
          <w:szCs w:val="22"/>
          <w:highlight w:val="none"/>
          <w14:textFill>
            <w14:solidFill>
              <w14:schemeClr w14:val="tx1"/>
            </w14:solidFill>
          </w14:textFill>
        </w:rPr>
        <w:fldChar w:fldCharType="end"/>
      </w:r>
      <w:r/>
    </w:p>
    <w:p>
      <w:pPr>
        <w:pStyle w:val="1056"/>
        <w:spacing w:after="0" w:line="480" w:lineRule="auto"/>
        <w:tabs>
          <w:tab w:val="right" w:pos="8296" w:leader="dot"/>
        </w:tabs>
        <w:rPr>
          <w:rStyle w:val="1070"/>
          <w:b/>
          <w:color w:val="000000" w:themeColor="text1"/>
          <w:sz w:val="32"/>
          <w:szCs w:val="22"/>
          <w:highlight w:val="none"/>
          <w14:textFill>
            <w14:solidFill>
              <w14:schemeClr w14:val="tx1"/>
            </w14:solidFill>
          </w14:textFill>
        </w:rPr>
      </w:pPr>
      <w:r>
        <w:rPr>
          <w:highlight w:val="none"/>
        </w:rPr>
        <w:fldChar w:fldCharType="begin"/>
      </w:r>
      <w:r>
        <w:rPr>
          <w:highlight w:val="none"/>
        </w:rPr>
        <w:instrText xml:space="preserve"> HYPERLINK \l "_Toc123719650" </w:instrText>
      </w:r>
      <w:r>
        <w:rPr>
          <w:highlight w:val="none"/>
        </w:rPr>
        <w:fldChar w:fldCharType="separate"/>
      </w:r>
      <w:r>
        <w:rPr>
          <w:rStyle w:val="1070"/>
          <w:rFonts w:hint="eastAsia"/>
          <w:b/>
          <w:color w:val="000000" w:themeColor="text1"/>
          <w:sz w:val="32"/>
          <w:szCs w:val="22"/>
          <w:highlight w:val="none"/>
          <w14:textFill>
            <w14:solidFill>
              <w14:schemeClr w14:val="tx1"/>
            </w14:solidFill>
          </w14:textFill>
        </w:rPr>
        <w:t xml:space="preserve">第七章 响应文件格式</w:t>
      </w:r>
      <w:r>
        <w:rPr>
          <w:rStyle w:val="1070"/>
          <w:rFonts w:hint="eastAsia"/>
          <w:b/>
          <w:color w:val="000000" w:themeColor="text1"/>
          <w:sz w:val="32"/>
          <w:szCs w:val="22"/>
          <w:highlight w:val="none"/>
          <w14:textFill>
            <w14:solidFill>
              <w14:schemeClr w14:val="tx1"/>
            </w14:solidFill>
          </w14:textFill>
        </w:rPr>
        <w:fldChar w:fldCharType="end"/>
      </w:r>
      <w:r/>
    </w:p>
    <w:p>
      <w:pPr>
        <w:jc w:val="center"/>
        <w:spacing w:line="360" w:lineRule="auto"/>
        <w:rPr>
          <w:sz w:val="32"/>
          <w:szCs w:val="32"/>
          <w:highlight w:val="none"/>
        </w:rPr>
        <w:outlineLvl w:val="0"/>
      </w:pPr>
      <w:r>
        <w:rPr>
          <w:rStyle w:val="1070"/>
          <w:rFonts w:hint="eastAsia"/>
          <w:b/>
          <w:color w:val="000000" w:themeColor="text1"/>
          <w:sz w:val="32"/>
          <w:szCs w:val="22"/>
          <w:highlight w:val="none"/>
          <w14:textFill>
            <w14:solidFill>
              <w14:schemeClr w14:val="tx1"/>
            </w14:solidFill>
          </w14:textFill>
        </w:rPr>
        <w:fldChar w:fldCharType="end"/>
      </w:r>
      <w:r>
        <w:rPr>
          <w:sz w:val="24"/>
          <w:highlight w:val="none"/>
        </w:rPr>
        <w:br w:type="page" w:clear="all"/>
      </w:r>
      <w:bookmarkStart w:id="1" w:name="_Toc99301419"/>
      <w:r>
        <w:rPr>
          <w:b/>
          <w:sz w:val="36"/>
          <w:szCs w:val="36"/>
          <w:highlight w:val="none"/>
        </w:rPr>
        <w:t xml:space="preserve">第一章   投标邀请</w:t>
      </w:r>
      <w:bookmarkEnd w:id="1"/>
      <w:r/>
      <w:r/>
    </w:p>
    <w:p>
      <w:pPr>
        <w:pStyle w:val="1223"/>
        <w:jc w:val="left"/>
        <w:spacing w:before="0" w:line="360" w:lineRule="auto"/>
        <w:rPr>
          <w:rFonts w:ascii="Times New Roman" w:hAnsi="Times New Roman" w:eastAsia="宋体"/>
          <w:sz w:val="24"/>
          <w:szCs w:val="24"/>
          <w:highlight w:val="none"/>
        </w:rPr>
      </w:pPr>
      <w:r/>
      <w:bookmarkStart w:id="2" w:name="_Toc35393790"/>
      <w:r/>
      <w:bookmarkStart w:id="3" w:name="_Toc35393621"/>
      <w:r/>
      <w:bookmarkStart w:id="4" w:name="_Toc28359079"/>
      <w:r/>
      <w:bookmarkStart w:id="5" w:name="_Toc28359002"/>
      <w:r/>
      <w:bookmarkStart w:id="6" w:name="_Hlk24379207"/>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color w:val="000000"/>
          <w:sz w:val="24"/>
          <w:highlight w:val="none"/>
        </w:rPr>
      </w:pPr>
      <w:r>
        <w:rPr>
          <w:color w:val="000000"/>
          <w:sz w:val="24"/>
          <w:highlight w:val="none"/>
        </w:rPr>
        <w:t xml:space="preserve">1.项目编号/包号：</w:t>
      </w:r>
      <w:r>
        <w:rPr>
          <w:rFonts w:hint="eastAsia"/>
          <w:color w:val="000000"/>
          <w:sz w:val="24"/>
          <w:highlight w:val="none"/>
        </w:rPr>
        <w:t xml:space="preserve">JSZC-320413-HSGS-G2026-0014   </w:t>
      </w:r>
      <w:r/>
    </w:p>
    <w:p>
      <w:pPr>
        <w:ind w:firstLine="480"/>
        <w:spacing w:line="360" w:lineRule="auto"/>
        <w:rPr>
          <w:sz w:val="24"/>
          <w:highlight w:val="none"/>
        </w:rPr>
      </w:pPr>
      <w:r>
        <w:rPr>
          <w:sz w:val="24"/>
          <w:highlight w:val="none"/>
        </w:rPr>
        <w:t xml:space="preserve">2.项目名称：</w:t>
      </w:r>
      <w:r>
        <w:rPr>
          <w:rFonts w:hint="eastAsia"/>
          <w:sz w:val="24"/>
          <w:highlight w:val="none"/>
        </w:rPr>
        <w:t xml:space="preserve">主业务系统硬件扩容及数据库迁移</w:t>
      </w:r>
      <w:bookmarkEnd w:id="6"/>
      <w:r/>
      <w:r/>
    </w:p>
    <w:p>
      <w:pPr>
        <w:ind w:firstLine="480"/>
        <w:spacing w:line="360" w:lineRule="auto"/>
        <w:rPr>
          <w:sz w:val="24"/>
          <w:highlight w:val="none"/>
          <w:u w:val="single"/>
        </w:rPr>
      </w:pPr>
      <w:r>
        <w:rPr>
          <w:sz w:val="24"/>
          <w:highlight w:val="none"/>
        </w:rPr>
        <w:t xml:space="preserve">3.项目预算金额：</w:t>
      </w:r>
      <w:r>
        <w:rPr>
          <w:rFonts w:hint="eastAsia"/>
          <w:sz w:val="24"/>
          <w:highlight w:val="none"/>
        </w:rPr>
        <w:t xml:space="preserve">130万元</w:t>
      </w:r>
      <w:r/>
    </w:p>
    <w:p>
      <w:pPr>
        <w:ind w:firstLine="480"/>
        <w:spacing w:line="360" w:lineRule="auto"/>
        <w:rPr>
          <w:sz w:val="24"/>
          <w:highlight w:val="none"/>
        </w:rPr>
      </w:pPr>
      <w:r>
        <w:rPr>
          <w:sz w:val="24"/>
          <w:highlight w:val="none"/>
        </w:rPr>
        <w:t xml:space="preserve">项目最高限价（如有）：</w:t>
      </w:r>
      <w:r>
        <w:rPr>
          <w:rFonts w:hint="eastAsia"/>
          <w:sz w:val="24"/>
          <w:highlight w:val="none"/>
          <w:u w:val="single"/>
        </w:rPr>
        <w:t xml:space="preserve">130万元，投标报价超过最高限价的作无效投标文件处理</w:t>
      </w:r>
      <w:r>
        <w:rPr>
          <w:rFonts w:hint="eastAsia"/>
          <w:sz w:val="24"/>
          <w:highlight w:val="none"/>
        </w:rPr>
        <w:t xml:space="preserve">。</w:t>
      </w:r>
      <w:r/>
    </w:p>
    <w:p>
      <w:pPr>
        <w:ind w:firstLine="480"/>
        <w:spacing w:line="360" w:lineRule="auto"/>
        <w:rPr>
          <w:sz w:val="24"/>
          <w:highlight w:val="none"/>
        </w:rPr>
      </w:pPr>
      <w:r>
        <w:rPr>
          <w:sz w:val="24"/>
          <w:highlight w:val="none"/>
        </w:rPr>
        <w:t xml:space="preserve">4.采购需求：</w:t>
      </w:r>
      <w:r/>
    </w:p>
    <w:tbl>
      <w:tblPr>
        <w:tblStyle w:val="1043"/>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865"/>
        <w:gridCol w:w="2010"/>
        <w:gridCol w:w="1109"/>
        <w:gridCol w:w="2819"/>
      </w:tblGrid>
      <w:tr>
        <w:trPr>
          <w:jc w:val="center"/>
          <w:trHeight w:val="684"/>
        </w:trPr>
        <w:tc>
          <w:tcPr>
            <w:tcW w:w="434"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包号</w:t>
            </w:r>
            <w:r/>
          </w:p>
        </w:tc>
        <w:tc>
          <w:tcPr>
            <w:tcW w:w="148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标的名称</w:t>
            </w:r>
            <w:r/>
          </w:p>
        </w:tc>
        <w:tc>
          <w:tcPr>
            <w:tcW w:w="1042"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采购包最高限价</w:t>
            </w:r>
            <w:r/>
          </w:p>
          <w:p>
            <w:pPr>
              <w:jc w:val="center"/>
              <w:rPr>
                <w:rFonts w:hint="eastAsia" w:ascii="宋体" w:hAnsi="宋体" w:cs="宋体"/>
                <w:b/>
                <w:szCs w:val="21"/>
                <w:highlight w:val="none"/>
              </w:rPr>
            </w:pPr>
            <w:r>
              <w:rPr>
                <w:rFonts w:hint="eastAsia" w:ascii="宋体" w:hAnsi="宋体" w:cs="宋体"/>
                <w:b/>
                <w:szCs w:val="21"/>
                <w:highlight w:val="none"/>
              </w:rPr>
              <w:t xml:space="preserve">（元）</w:t>
            </w:r>
            <w:r/>
          </w:p>
        </w:tc>
        <w:tc>
          <w:tcPr>
            <w:tcW w:w="575"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数量</w:t>
            </w:r>
            <w:r/>
          </w:p>
        </w:tc>
        <w:tc>
          <w:tcPr>
            <w:tcW w:w="1461"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简要技术需求或服务要求</w:t>
            </w:r>
            <w:r/>
          </w:p>
        </w:tc>
      </w:tr>
      <w:tr>
        <w:trPr>
          <w:jc w:val="center"/>
          <w:trHeight w:val="874"/>
        </w:trPr>
        <w:tc>
          <w:tcPr>
            <w:tcW w:w="434" w:type="dxa"/>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01</w:t>
            </w:r>
            <w:r/>
          </w:p>
        </w:tc>
        <w:tc>
          <w:tcPr>
            <w:tcW w:w="148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主业务系统硬件扩容及数据库迁移</w:t>
            </w:r>
            <w:r/>
          </w:p>
        </w:tc>
        <w:tc>
          <w:tcPr>
            <w:tcW w:w="10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t xml:space="preserve">00000</w:t>
            </w:r>
            <w:r/>
          </w:p>
        </w:tc>
        <w:tc>
          <w:tcPr>
            <w:tcW w:w="57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461"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详见采购需求</w:t>
            </w:r>
            <w:r/>
          </w:p>
        </w:tc>
      </w:tr>
    </w:tbl>
    <w:p>
      <w:pPr>
        <w:ind w:firstLine="480"/>
        <w:spacing w:line="360" w:lineRule="auto"/>
        <w:rPr>
          <w:sz w:val="24"/>
          <w:highlight w:val="none"/>
        </w:rPr>
      </w:pPr>
      <w:r>
        <w:rPr>
          <w:sz w:val="24"/>
          <w:highlight w:val="none"/>
        </w:rPr>
      </w:r>
      <w:r/>
    </w:p>
    <w:p>
      <w:pPr>
        <w:ind w:firstLine="480"/>
        <w:spacing w:line="360" w:lineRule="auto"/>
        <w:rPr>
          <w:sz w:val="24"/>
          <w:highlight w:val="none"/>
          <w:u w:val="single"/>
        </w:rPr>
      </w:pPr>
      <w:r>
        <w:rPr>
          <w:rFonts w:hint="eastAsia"/>
          <w:sz w:val="24"/>
          <w:highlight w:val="none"/>
        </w:rPr>
        <w:t xml:space="preserve">5.</w:t>
      </w:r>
      <w:r>
        <w:rPr>
          <w:sz w:val="24"/>
          <w:highlight w:val="none"/>
        </w:rPr>
        <w:t xml:space="preserve">合同履行期限：</w:t>
      </w:r>
      <w:r>
        <w:rPr>
          <w:rFonts w:hint="eastAsia"/>
          <w:sz w:val="24"/>
          <w:highlight w:val="none"/>
        </w:rPr>
        <w:t xml:space="preserve">合同签订之日起</w:t>
      </w:r>
      <w:r>
        <w:rPr>
          <w:rFonts w:hint="eastAsia"/>
          <w:sz w:val="24"/>
          <w:highlight w:val="none"/>
          <w:lang w:val="en-US" w:eastAsia="zh-CN"/>
        </w:rPr>
        <w:t xml:space="preserve">6</w:t>
      </w:r>
      <w:r>
        <w:rPr>
          <w:rFonts w:hint="eastAsia"/>
          <w:sz w:val="24"/>
          <w:highlight w:val="none"/>
        </w:rPr>
        <w:t xml:space="preserve">0日内完成规划、设计、调试及平台投入运行，并经采购人验收合格。（具体以甲方要求为准）。</w:t>
      </w:r>
      <w:r/>
    </w:p>
    <w:p>
      <w:pPr>
        <w:ind w:firstLine="480"/>
        <w:spacing w:line="360" w:lineRule="auto"/>
        <w:rPr>
          <w:sz w:val="24"/>
          <w:highlight w:val="none"/>
        </w:rPr>
      </w:pPr>
      <w:r>
        <w:rPr>
          <w:sz w:val="24"/>
          <w:highlight w:val="none"/>
        </w:rPr>
        <w:t xml:space="preserve">6.本项目是否接受联合体投标：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p>
    <w:p>
      <w:pPr>
        <w:pStyle w:val="1223"/>
        <w:jc w:val="left"/>
        <w:spacing w:before="0" w:line="360" w:lineRule="auto"/>
        <w:rPr>
          <w:rFonts w:ascii="Times New Roman" w:hAnsi="Times New Roman" w:eastAsia="宋体"/>
          <w:sz w:val="24"/>
          <w:szCs w:val="24"/>
          <w:highlight w:val="none"/>
        </w:rPr>
      </w:pPr>
      <w:r/>
      <w:bookmarkStart w:id="7" w:name="_Toc35393622"/>
      <w:r/>
      <w:bookmarkStart w:id="8" w:name="_Toc35393791"/>
      <w:r/>
      <w:bookmarkStart w:id="9" w:name="_Toc28359080"/>
      <w:r/>
      <w:bookmarkStart w:id="10" w:name="_Toc28359003"/>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1" w:name="_Toc28359081"/>
      <w:r/>
      <w:bookmarkStart w:id="12"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rPr>
          <w:rFonts w:hint="eastAsia"/>
          <w:sz w:val="24"/>
          <w:highlight w:val="none"/>
        </w:rPr>
        <w:t xml:space="preserve">：本项目不专门面向中小企业预留采购份额</w:t>
      </w:r>
      <w:r>
        <w:rPr>
          <w:color w:val="000000" w:themeColor="text1"/>
          <w:sz w:val="24"/>
          <w:highlight w:val="none"/>
          <w14:textFill>
            <w14:solidFill>
              <w14:schemeClr w14:val="tx1"/>
            </w14:solidFill>
          </w14:textFill>
        </w:rPr>
        <w:t xml:space="preserve">。</w:t>
      </w:r>
      <w:r/>
    </w:p>
    <w:p>
      <w:pPr>
        <w:ind w:firstLine="480"/>
        <w:spacing w:line="360" w:lineRule="auto"/>
        <w:rPr>
          <w:sz w:val="24"/>
          <w:highlight w:val="none"/>
        </w:rPr>
      </w:pPr>
      <w:r>
        <w:rPr>
          <w:sz w:val="24"/>
          <w:highlight w:val="none"/>
        </w:rPr>
        <w:t xml:space="preserve">2.2 其它落实政府采购政策的资格要求（如有）：__</w:t>
      </w:r>
      <w:r>
        <w:rPr>
          <w:rFonts w:hint="eastAsia"/>
          <w:sz w:val="24"/>
          <w:highlight w:val="none"/>
        </w:rPr>
        <w:t xml:space="preserve">/</w:t>
      </w:r>
      <w:r>
        <w:rPr>
          <w:sz w:val="24"/>
          <w:highlight w:val="none"/>
        </w:rPr>
        <w:t xml:space="preserve">___</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w:t>
      </w:r>
      <w:r>
        <w:rPr>
          <w:rFonts w:hint="eastAsia"/>
          <w:sz w:val="24"/>
          <w:highlight w:val="none"/>
        </w:rPr>
        <w:t xml:space="preserve">□</w:t>
      </w:r>
      <w:r>
        <w:rPr>
          <w:sz w:val="24"/>
          <w:highlight w:val="none"/>
        </w:rPr>
        <w:t xml:space="preserve">是   </w:t>
      </w:r>
      <w:r>
        <w:rPr>
          <w:rFonts w:hint="eastAsia"/>
          <w:sz w:val="24"/>
          <w:highlight w:val="none"/>
        </w:rPr>
        <w:t xml:space="preserve">☑</w:t>
      </w:r>
      <w:r>
        <w:rPr>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rPr>
        <w:t xml:space="preserve">☑</w:t>
      </w: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rFonts w:hint="eastAsia"/>
          <w:sz w:val="24"/>
          <w:highlight w:val="none"/>
        </w:rPr>
        <w:t xml:space="preserve">□</w:t>
      </w: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color w:val="0000ff"/>
          <w:sz w:val="24"/>
          <w:highlight w:val="none"/>
          <w:u w:val="single"/>
        </w:rPr>
      </w:pPr>
      <w:r>
        <w:rPr>
          <w:sz w:val="24"/>
          <w:highlight w:val="none"/>
        </w:rPr>
        <w:t xml:space="preserve">3.3其他特定资格要求：</w:t>
      </w:r>
      <w:r>
        <w:rPr>
          <w:rFonts w:hint="eastAsia"/>
          <w:sz w:val="24"/>
          <w:highlight w:val="none"/>
          <w:u w:val="single"/>
        </w:rPr>
        <w:t xml:space="preserve">  无。</w:t>
      </w:r>
      <w:bookmarkEnd w:id="11"/>
      <w:r/>
      <w:bookmarkEnd w:id="12"/>
      <w:r/>
      <w:r/>
    </w:p>
    <w:p>
      <w:pPr>
        <w:pStyle w:val="1223"/>
        <w:jc w:val="left"/>
        <w:spacing w:before="0" w:line="360" w:lineRule="auto"/>
        <w:widowControl/>
        <w:rPr>
          <w:rFonts w:ascii="Times New Roman" w:hAnsi="Times New Roman" w:eastAsia="宋体"/>
          <w:sz w:val="24"/>
          <w:szCs w:val="24"/>
          <w:highlight w:val="none"/>
        </w:rPr>
      </w:pPr>
      <w:r/>
      <w:bookmarkStart w:id="13" w:name="_Toc35393623"/>
      <w:r/>
      <w:bookmarkStart w:id="14" w:name="_Toc35393792"/>
      <w:r>
        <w:rPr>
          <w:rFonts w:ascii="Times New Roman" w:hAnsi="Times New Roman" w:eastAsia="宋体"/>
          <w:sz w:val="24"/>
          <w:szCs w:val="24"/>
          <w:highlight w:val="none"/>
        </w:rPr>
        <w:t xml:space="preserve">三、获取招标文件</w:t>
      </w:r>
      <w:bookmarkEnd w:id="13"/>
      <w:r/>
      <w:bookmarkEnd w:id="14"/>
      <w:r/>
      <w:r/>
    </w:p>
    <w:p>
      <w:pPr>
        <w:ind w:firstLine="480"/>
        <w:spacing w:line="360" w:lineRule="auto"/>
        <w:rPr>
          <w:color w:val="000000"/>
          <w:sz w:val="24"/>
          <w:highlight w:val="none"/>
          <w:u w:val="single"/>
          <w:lang w:bidi="ar"/>
        </w:rPr>
      </w:pPr>
      <w:r>
        <w:rPr>
          <w:color w:val="000000"/>
          <w:sz w:val="24"/>
          <w:highlight w:val="none"/>
          <w:lang w:bidi="ar"/>
        </w:rPr>
        <w:t xml:space="preserve">1.时间：</w:t>
      </w:r>
      <w:r>
        <w:rPr>
          <w:rFonts w:hint="eastAsia"/>
          <w:color w:val="000000" w:themeColor="text1"/>
          <w:sz w:val="24"/>
          <w:highlight w:val="none"/>
          <w:lang w:bidi="ar"/>
          <w14:textFill>
            <w14:solidFill>
              <w14:schemeClr w14:val="tx1"/>
            </w14:solidFill>
          </w14:textFill>
        </w:rPr>
        <w:t xml:space="preserve">自本公告发布之日起5个工作日</w:t>
      </w:r>
      <w:r/>
    </w:p>
    <w:p>
      <w:pPr>
        <w:ind w:firstLine="480"/>
        <w:spacing w:line="360" w:lineRule="auto"/>
        <w:rPr>
          <w:color w:val="000000"/>
          <w:sz w:val="24"/>
          <w:highlight w:val="none"/>
          <w:lang w:bidi="ar"/>
        </w:rPr>
      </w:pPr>
      <w:r>
        <w:rPr>
          <w:rFonts w:hint="eastAsia"/>
          <w:color w:val="000000"/>
          <w:sz w:val="24"/>
          <w:highlight w:val="none"/>
          <w:lang w:bidi="ar"/>
        </w:rPr>
        <w:t xml:space="preserve">2.地点：“苏采云”政府采购一体化平台</w:t>
      </w:r>
      <w:r>
        <w:rPr>
          <w:rFonts w:hint="eastAsia"/>
          <w:sz w:val="24"/>
          <w:highlight w:val="none"/>
          <w:lang w:bidi="ar"/>
        </w:rPr>
        <w:t xml:space="preserve">（网址：</w:t>
      </w:r>
      <w:r>
        <w:rPr>
          <w:highlight w:val="none"/>
        </w:rPr>
        <w:fldChar w:fldCharType="begin"/>
      </w:r>
      <w:r>
        <w:rPr>
          <w:highlight w:val="none"/>
        </w:rPr>
        <w:instrText xml:space="preserve"> HYPERLINK "http://jszfcg.jsczt.cn/jszc/login）" </w:instrText>
      </w:r>
      <w:r>
        <w:rPr>
          <w:highlight w:val="none"/>
        </w:rPr>
        <w:fldChar w:fldCharType="separate"/>
      </w:r>
      <w:r>
        <w:rPr>
          <w:rStyle w:val="1070"/>
          <w:rFonts w:hint="eastAsia"/>
          <w:sz w:val="24"/>
          <w:highlight w:val="none"/>
          <w:lang w:bidi="ar"/>
        </w:rPr>
        <w:t xml:space="preserve">http://jszfcg.jsczt.cn/jszc/login）</w:t>
      </w:r>
      <w:r>
        <w:rPr>
          <w:rStyle w:val="1070"/>
          <w:rFonts w:hint="eastAsia"/>
          <w:sz w:val="24"/>
          <w:highlight w:val="none"/>
          <w:lang w:bidi="ar"/>
        </w:rPr>
        <w:fldChar w:fldCharType="end"/>
      </w:r>
      <w:r/>
    </w:p>
    <w:p>
      <w:pPr>
        <w:ind w:firstLine="480"/>
        <w:jc w:val="left"/>
        <w:spacing w:line="360" w:lineRule="auto"/>
        <w:widowControl/>
        <w:rPr>
          <w:color w:val="000000"/>
          <w:sz w:val="24"/>
          <w:highlight w:val="none"/>
          <w:lang w:bidi="ar"/>
        </w:rPr>
      </w:pPr>
      <w:r>
        <w:rPr>
          <w:rFonts w:hint="eastAsia"/>
          <w:color w:val="000000"/>
          <w:sz w:val="24"/>
          <w:highlight w:val="none"/>
          <w:lang w:bidi="ar"/>
        </w:rPr>
        <w:t xml:space="preserve">3.方式：投标人完成注册并办理CA证书后登录“苏采云”政府采购一体化平台，下载本项目电子版采购文件。</w:t>
      </w:r>
      <w:r/>
    </w:p>
    <w:p>
      <w:pPr>
        <w:ind w:firstLine="480"/>
        <w:jc w:val="left"/>
        <w:spacing w:line="360" w:lineRule="auto"/>
        <w:widowControl/>
        <w:rPr>
          <w:color w:val="000000"/>
          <w:sz w:val="24"/>
          <w:highlight w:val="none"/>
        </w:rPr>
      </w:pPr>
      <w:r>
        <w:rPr>
          <w:rFonts w:hint="eastAsia"/>
          <w:color w:val="000000"/>
          <w:sz w:val="24"/>
          <w:highlight w:val="none"/>
          <w:lang w:bidi="ar"/>
        </w:rPr>
        <w:t xml:space="preserve">4.售价：0元。</w:t>
      </w:r>
      <w:r/>
    </w:p>
    <w:p>
      <w:pPr>
        <w:pStyle w:val="1223"/>
        <w:jc w:val="left"/>
        <w:spacing w:before="0" w:line="360" w:lineRule="auto"/>
        <w:widowControl/>
        <w:rPr>
          <w:rFonts w:ascii="Times New Roman" w:hAnsi="Times New Roman" w:eastAsia="宋体"/>
          <w:color w:val="000000"/>
          <w:sz w:val="24"/>
          <w:szCs w:val="24"/>
          <w:highlight w:val="none"/>
        </w:rPr>
      </w:pPr>
      <w:r/>
      <w:bookmarkStart w:id="15" w:name="_Toc28359082"/>
      <w:r/>
      <w:bookmarkStart w:id="16" w:name="_Toc28359005"/>
      <w:r/>
      <w:bookmarkStart w:id="17" w:name="_Toc35393624"/>
      <w:r/>
      <w:bookmarkStart w:id="18" w:name="_Toc35393793"/>
      <w:r>
        <w:rPr>
          <w:rFonts w:ascii="Times New Roman" w:hAnsi="Times New Roman" w:eastAsia="宋体"/>
          <w:color w:val="000000"/>
          <w:sz w:val="24"/>
          <w:szCs w:val="24"/>
          <w:highlight w:val="none"/>
        </w:rPr>
        <w:t xml:space="preserve">四、提交投标文件</w:t>
      </w:r>
      <w:bookmarkEnd w:id="15"/>
      <w:r/>
      <w:bookmarkEnd w:id="16"/>
      <w:r>
        <w:rPr>
          <w:rFonts w:ascii="Times New Roman" w:hAnsi="Times New Roman" w:eastAsia="宋体"/>
          <w:color w:val="000000"/>
          <w:sz w:val="24"/>
          <w:szCs w:val="24"/>
          <w:highlight w:val="none"/>
        </w:rPr>
        <w:t xml:space="preserve">截止时间、开标时间和地点</w:t>
      </w:r>
      <w:bookmarkEnd w:id="17"/>
      <w:r/>
      <w:bookmarkEnd w:id="18"/>
      <w:r/>
      <w:r/>
    </w:p>
    <w:p>
      <w:pPr>
        <w:ind w:firstLine="480"/>
        <w:spacing w:line="360" w:lineRule="auto"/>
        <w:rPr>
          <w:bCs/>
          <w:color w:val="000000"/>
          <w:sz w:val="24"/>
          <w:highlight w:val="none"/>
        </w:rPr>
      </w:pPr>
      <w:r>
        <w:rPr>
          <w:rFonts w:hint="eastAsia"/>
          <w:bCs/>
          <w:color w:val="000000"/>
          <w:sz w:val="24"/>
          <w:highlight w:val="none"/>
        </w:rPr>
        <w:t xml:space="preserve">1.截止时间：</w:t>
      </w:r>
      <w:r>
        <w:rPr>
          <w:rFonts w:hint="eastAsia"/>
          <w:color w:val="000000"/>
          <w:sz w:val="24"/>
          <w:highlight w:val="none"/>
          <w:u w:val="single"/>
          <w:lang w:bidi="ar"/>
        </w:rPr>
        <w:t xml:space="preserve">2026年</w:t>
      </w:r>
      <w:r>
        <w:rPr>
          <w:rFonts w:hint="eastAsia"/>
          <w:color w:val="000000"/>
          <w:sz w:val="24"/>
          <w:highlight w:val="none"/>
          <w:u w:val="single"/>
          <w:lang w:val="en-US" w:eastAsia="zh-CN" w:bidi="ar"/>
        </w:rPr>
        <w:t xml:space="preserve">06</w:t>
      </w:r>
      <w:r>
        <w:rPr>
          <w:rFonts w:hint="eastAsia"/>
          <w:color w:val="000000"/>
          <w:sz w:val="24"/>
          <w:highlight w:val="none"/>
          <w:u w:val="single"/>
          <w:lang w:bidi="ar"/>
        </w:rPr>
        <w:t xml:space="preserve">月</w:t>
      </w:r>
      <w:r>
        <w:rPr>
          <w:rFonts w:hint="eastAsia"/>
          <w:color w:val="000000"/>
          <w:sz w:val="24"/>
          <w:highlight w:val="none"/>
          <w:u w:val="single"/>
          <w:lang w:val="en-US" w:eastAsia="zh-CN" w:bidi="ar"/>
        </w:rPr>
        <w:t xml:space="preserve">30</w:t>
      </w:r>
      <w:r>
        <w:rPr>
          <w:rFonts w:hint="eastAsia"/>
          <w:color w:val="000000"/>
          <w:sz w:val="24"/>
          <w:highlight w:val="none"/>
          <w:u w:val="single"/>
          <w:lang w:bidi="ar"/>
        </w:rPr>
        <w:t xml:space="preserve">日09:00</w:t>
      </w:r>
      <w:r>
        <w:rPr>
          <w:rFonts w:hint="eastAsia"/>
          <w:bCs/>
          <w:color w:val="000000"/>
          <w:sz w:val="24"/>
          <w:highlight w:val="none"/>
        </w:rPr>
        <w:t xml:space="preserve">（北京时间）。</w:t>
      </w:r>
      <w:r/>
    </w:p>
    <w:p>
      <w:pPr>
        <w:ind w:firstLine="480"/>
        <w:jc w:val="left"/>
        <w:spacing w:line="360" w:lineRule="auto"/>
        <w:rPr>
          <w:bCs/>
          <w:sz w:val="24"/>
          <w:highlight w:val="none"/>
        </w:rPr>
      </w:pPr>
      <w:r>
        <w:rPr>
          <w:rFonts w:hint="eastAsia"/>
          <w:bCs/>
          <w:color w:val="000000"/>
          <w:sz w:val="24"/>
          <w:highlight w:val="none"/>
        </w:rPr>
        <w:t xml:space="preserve">2.</w:t>
      </w:r>
      <w:r>
        <w:rPr>
          <w:bCs/>
          <w:color w:val="000000"/>
          <w:sz w:val="24"/>
          <w:highlight w:val="none"/>
        </w:rPr>
        <w:t xml:space="preserve">地点：</w:t>
      </w:r>
      <w:r>
        <w:rPr>
          <w:rFonts w:hint="eastAsia" w:ascii="宋体" w:hAnsi="宋体"/>
          <w:color w:val="000000"/>
          <w:sz w:val="24"/>
          <w:highlight w:val="none"/>
        </w:rPr>
        <w:t xml:space="preserve">本项目采用不见面交易方式，无需到现场提交，投标人登录</w:t>
      </w:r>
      <w:r>
        <w:rPr>
          <w:rFonts w:ascii="宋体" w:hAnsi="宋体"/>
          <w:color w:val="000000"/>
          <w:sz w:val="24"/>
          <w:highlight w:val="none"/>
        </w:rPr>
        <w:t xml:space="preserve">“苏采云”政府采购</w:t>
      </w:r>
      <w:r>
        <w:rPr>
          <w:rFonts w:ascii="宋体" w:hAnsi="宋体"/>
          <w:sz w:val="24"/>
          <w:highlight w:val="none"/>
        </w:rPr>
        <w:t xml:space="preserve">一体化平台供应商端</w:t>
      </w:r>
      <w:r>
        <w:rPr>
          <w:rFonts w:hint="eastAsia" w:ascii="宋体" w:hAnsi="宋体"/>
          <w:sz w:val="24"/>
          <w:highlight w:val="none"/>
        </w:rPr>
        <w:t xml:space="preserve">，通过系统在线提交电子投标文件</w:t>
      </w:r>
      <w:r>
        <w:rPr>
          <w:sz w:val="24"/>
          <w:highlight w:val="none"/>
          <w:lang w:val="zh-TW" w:bidi="ar"/>
        </w:rPr>
        <w:t xml:space="preserve">。</w:t>
      </w:r>
      <w:r/>
    </w:p>
    <w:p>
      <w:pPr>
        <w:pStyle w:val="1223"/>
        <w:jc w:val="left"/>
        <w:spacing w:before="0" w:line="360" w:lineRule="auto"/>
        <w:rPr>
          <w:rFonts w:ascii="Times New Roman" w:hAnsi="Times New Roman" w:eastAsia="宋体"/>
          <w:sz w:val="24"/>
          <w:szCs w:val="24"/>
          <w:highlight w:val="none"/>
        </w:rPr>
      </w:pPr>
      <w:r/>
      <w:bookmarkStart w:id="19" w:name="_Toc35393794"/>
      <w:r/>
      <w:bookmarkStart w:id="20" w:name="_Toc28359007"/>
      <w:r/>
      <w:bookmarkStart w:id="21" w:name="_Toc28359084"/>
      <w:r/>
      <w:bookmarkStart w:id="22" w:name="_Toc35393625"/>
      <w:r>
        <w:rPr>
          <w:rFonts w:ascii="Times New Roman" w:hAnsi="Times New Roman" w:eastAsia="宋体"/>
          <w:sz w:val="24"/>
          <w:szCs w:val="24"/>
          <w:highlight w:val="none"/>
        </w:rPr>
        <w:t xml:space="preserve">五、公告期限</w:t>
      </w:r>
      <w:bookmarkEnd w:id="19"/>
      <w:r/>
      <w:bookmarkEnd w:id="20"/>
      <w:r/>
      <w:bookmarkEnd w:id="21"/>
      <w:r/>
      <w:bookmarkEnd w:id="22"/>
      <w:r/>
      <w:r/>
    </w:p>
    <w:p>
      <w:pPr>
        <w:ind w:firstLine="480"/>
        <w:spacing w:line="360" w:lineRule="auto"/>
        <w:rPr>
          <w:sz w:val="24"/>
          <w:highlight w:val="none"/>
        </w:rPr>
      </w:pPr>
      <w:r>
        <w:rPr>
          <w:sz w:val="24"/>
          <w:highlight w:val="none"/>
        </w:rPr>
        <w:t xml:space="preserve">自本公告发布之日起5个工作日。</w:t>
      </w:r>
      <w:r/>
    </w:p>
    <w:p>
      <w:pPr>
        <w:pStyle w:val="1223"/>
        <w:jc w:val="left"/>
        <w:spacing w:before="0" w:line="360" w:lineRule="auto"/>
        <w:rPr>
          <w:rFonts w:ascii="Times New Roman" w:hAnsi="Times New Roman" w:eastAsia="宋体"/>
          <w:sz w:val="24"/>
          <w:szCs w:val="24"/>
          <w:highlight w:val="none"/>
        </w:rPr>
      </w:pPr>
      <w:r/>
      <w:bookmarkStart w:id="23" w:name="_Toc35393795"/>
      <w:r/>
      <w:bookmarkStart w:id="24" w:name="_Toc35393626"/>
      <w:r>
        <w:rPr>
          <w:rFonts w:ascii="Times New Roman" w:hAnsi="Times New Roman" w:eastAsia="宋体"/>
          <w:sz w:val="24"/>
          <w:szCs w:val="24"/>
          <w:highlight w:val="none"/>
        </w:rPr>
        <w:t xml:space="preserve">六、其他补充事宜</w:t>
      </w:r>
      <w:bookmarkEnd w:id="23"/>
      <w:r/>
      <w:bookmarkEnd w:id="24"/>
      <w:r/>
      <w:r/>
    </w:p>
    <w:p>
      <w:pPr>
        <w:ind w:firstLine="480"/>
        <w:spacing w:line="360" w:lineRule="auto"/>
        <w:rPr>
          <w:color w:val="000000" w:themeColor="text1"/>
          <w:sz w:val="24"/>
          <w:highlight w:val="none"/>
          <w:lang w:bidi="ar"/>
          <w14:textFill>
            <w14:solidFill>
              <w14:schemeClr w14:val="tx1"/>
            </w14:solidFill>
          </w14:textFill>
        </w:rPr>
      </w:pPr>
      <w:r/>
      <w:bookmarkStart w:id="25" w:name="_Toc35393796"/>
      <w:r/>
      <w:bookmarkStart w:id="26" w:name="_Toc28359008"/>
      <w:r/>
      <w:bookmarkStart w:id="27" w:name="_Toc35393627"/>
      <w:r/>
      <w:bookmarkStart w:id="28" w:name="_Toc28359085"/>
      <w:r>
        <w:rPr>
          <w:rFonts w:hint="eastAsia"/>
          <w:color w:val="000000" w:themeColor="text1"/>
          <w:sz w:val="24"/>
          <w:highlight w:val="none"/>
          <w:lang w:bidi="ar"/>
          <w14:textFill>
            <w14:solidFill>
              <w14:schemeClr w14:val="tx1"/>
            </w14:solidFill>
          </w14:textFill>
        </w:rPr>
        <w:t xml:space="preserve">1</w:t>
      </w:r>
      <w:r>
        <w:rPr>
          <w:rFonts w:hint="eastAsia"/>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2</w:t>
      </w:r>
      <w:r>
        <w:rPr>
          <w:rFonts w:hint="eastAsia"/>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3</w:t>
      </w:r>
      <w:r>
        <w:rPr>
          <w:rFonts w:hint="eastAsia"/>
          <w:color w:val="000000" w:themeColor="text1"/>
          <w:sz w:val="24"/>
          <w:highlight w:val="none"/>
          <w:lang w:bidi="ar"/>
          <w14:textFill>
            <w14:solidFill>
              <w14:schemeClr w14:val="tx1"/>
            </w14:solidFill>
          </w14:textFill>
        </w:rPr>
        <w:t xml:space="preserve">．</w:t>
      </w:r>
      <w:r>
        <w:rPr>
          <w:rFonts w:hint="eastAsia"/>
          <w:color w:val="000000" w:themeColor="text1"/>
          <w:sz w:val="24"/>
          <w:highlight w:val="none"/>
          <w:lang w:bidi="ar"/>
          <w14:textFill>
            <w14:solidFill>
              <w14:schemeClr w14:val="tx1"/>
            </w14:solidFill>
          </w14:textFill>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color w:val="000000" w:themeColor="text1"/>
          <w:sz w:val="24"/>
          <w:highlight w:val="none"/>
          <w:lang w:bidi="ar"/>
          <w14:textFill>
            <w14:solidFill>
              <w14:schemeClr w14:val="tx1"/>
            </w14:solidFill>
          </w14:textFill>
        </w:rPr>
      </w:pPr>
      <w:r>
        <w:rPr>
          <w:rFonts w:hint="eastAsia"/>
          <w:color w:val="000000" w:themeColor="text1"/>
          <w:sz w:val="24"/>
          <w:highlight w:val="none"/>
          <w:lang w:bidi="ar"/>
          <w14:textFill>
            <w14:solidFill>
              <w14:schemeClr w14:val="tx1"/>
            </w14:solidFill>
          </w14:textFill>
        </w:rPr>
        <w:t xml:space="preserve">4.关于江苏省政府采购履约验收管理办法：根据《关于印发江苏省政府采购履约验收管理办法的通知》（苏财规[2024]7号）等有关文件精神执行。</w:t>
      </w:r>
      <w:r/>
    </w:p>
    <w:p>
      <w:pPr>
        <w:ind w:firstLine="480"/>
        <w:spacing w:line="360" w:lineRule="auto"/>
        <w:rPr>
          <w:sz w:val="24"/>
          <w:highlight w:val="none"/>
        </w:rPr>
      </w:pPr>
      <w:r>
        <w:rPr>
          <w:sz w:val="24"/>
          <w:highlight w:val="none"/>
        </w:rPr>
        <w:t xml:space="preserve">七、对本次招标提出询问，请按以下方式联系。</w:t>
      </w:r>
      <w:bookmarkEnd w:id="25"/>
      <w:r/>
      <w:bookmarkEnd w:id="26"/>
      <w:r/>
      <w:bookmarkEnd w:id="27"/>
      <w:r/>
      <w:bookmarkEnd w:id="28"/>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left="1079" w:hanging="300"/>
        <w:jc w:val="left"/>
        <w:spacing w:line="360" w:lineRule="auto"/>
        <w:rPr>
          <w:sz w:val="24"/>
          <w:highlight w:val="none"/>
        </w:rPr>
      </w:pPr>
      <w:r/>
      <w:bookmarkStart w:id="29" w:name="_Toc28359086"/>
      <w:r/>
      <w:bookmarkStart w:id="30" w:name="_Toc28359009"/>
      <w:r>
        <w:rPr>
          <w:sz w:val="24"/>
          <w:highlight w:val="none"/>
        </w:rPr>
        <w:t xml:space="preserve">名    称：</w:t>
      </w:r>
      <w:r>
        <w:rPr>
          <w:rFonts w:hint="eastAsia"/>
          <w:sz w:val="24"/>
          <w:highlight w:val="none"/>
          <w:u w:val="single"/>
        </w:rPr>
        <w:t xml:space="preserve">常州市金坛第一人民医院  </w:t>
      </w:r>
      <w:r/>
    </w:p>
    <w:p>
      <w:pPr>
        <w:ind w:left="1079" w:hanging="300"/>
        <w:jc w:val="left"/>
        <w:spacing w:line="360" w:lineRule="auto"/>
        <w:rPr>
          <w:sz w:val="24"/>
          <w:highlight w:val="none"/>
        </w:rPr>
      </w:pPr>
      <w:r>
        <w:rPr>
          <w:sz w:val="24"/>
          <w:highlight w:val="none"/>
        </w:rPr>
        <w:t xml:space="preserve">地    址：</w:t>
      </w:r>
      <w:r>
        <w:rPr>
          <w:rFonts w:hint="eastAsia"/>
          <w:sz w:val="24"/>
          <w:highlight w:val="none"/>
          <w:u w:val="single"/>
        </w:rPr>
        <w:t xml:space="preserve"> 常州市金坛区金坛大道500号 </w:t>
      </w:r>
      <w:r/>
    </w:p>
    <w:p>
      <w:pPr>
        <w:ind w:left="1079" w:hanging="300"/>
        <w:jc w:val="left"/>
        <w:spacing w:line="360" w:lineRule="auto"/>
        <w:rPr>
          <w:sz w:val="24"/>
          <w:highlight w:val="none"/>
          <w:u w:val="single"/>
        </w:rPr>
      </w:pPr>
      <w:r>
        <w:rPr>
          <w:sz w:val="24"/>
          <w:highlight w:val="none"/>
        </w:rPr>
        <w:t xml:space="preserve">联系方式：</w:t>
      </w:r>
      <w:r>
        <w:rPr>
          <w:rFonts w:hint="eastAsia"/>
          <w:sz w:val="24"/>
          <w:highlight w:val="none"/>
          <w:u w:val="single"/>
        </w:rPr>
        <w:t xml:space="preserve"> 0519-82885505  </w:t>
      </w:r>
      <w:r/>
    </w:p>
    <w:p>
      <w:pPr>
        <w:ind w:left="1080" w:hanging="301"/>
        <w:jc w:val="left"/>
        <w:spacing w:line="360" w:lineRule="auto"/>
        <w:rPr>
          <w:b/>
          <w:sz w:val="24"/>
          <w:highlight w:val="none"/>
        </w:rPr>
      </w:pPr>
      <w:r>
        <w:rPr>
          <w:b/>
          <w:sz w:val="24"/>
          <w:highlight w:val="none"/>
        </w:rPr>
        <w:t xml:space="preserve">2.采购代理机构信息</w:t>
      </w:r>
      <w:bookmarkEnd w:id="29"/>
      <w:r/>
      <w:bookmarkEnd w:id="30"/>
      <w:r/>
      <w:r/>
    </w:p>
    <w:p>
      <w:pPr>
        <w:ind w:left="1076" w:hanging="297"/>
        <w:jc w:val="left"/>
        <w:spacing w:line="360" w:lineRule="auto"/>
        <w:rPr>
          <w:rFonts w:hint="eastAsia" w:eastAsia="宋体"/>
          <w:sz w:val="24"/>
          <w:highlight w:val="none"/>
          <w:lang w:eastAsia="zh-CN"/>
        </w:rPr>
      </w:pPr>
      <w:r/>
      <w:bookmarkStart w:id="31" w:name="_Toc28359010"/>
      <w:r/>
      <w:bookmarkStart w:id="32" w:name="_Toc28359087"/>
      <w:r>
        <w:rPr>
          <w:rFonts w:hint="eastAsia"/>
          <w:sz w:val="24"/>
          <w:highlight w:val="none"/>
        </w:rPr>
        <w:t xml:space="preserve">名    称：</w:t>
      </w:r>
      <w:r>
        <w:rPr>
          <w:rFonts w:hint="eastAsia"/>
          <w:sz w:val="24"/>
          <w:highlight w:val="none"/>
          <w:u w:val="single"/>
          <w:lang w:eastAsia="zh-CN"/>
        </w:rPr>
        <w:t xml:space="preserve">江苏华溯工程项目管理有限公司</w:t>
      </w:r>
      <w:r/>
    </w:p>
    <w:p>
      <w:pPr>
        <w:ind w:left="1076" w:hanging="297"/>
        <w:jc w:val="left"/>
        <w:spacing w:line="360" w:lineRule="auto"/>
        <w:rPr>
          <w:sz w:val="24"/>
          <w:highlight w:val="none"/>
          <w:u w:val="single"/>
        </w:rPr>
      </w:pPr>
      <w:r>
        <w:rPr>
          <w:rFonts w:hint="eastAsia"/>
          <w:sz w:val="24"/>
          <w:highlight w:val="none"/>
        </w:rPr>
        <w:t xml:space="preserve">地　　址：</w:t>
      </w:r>
      <w:r>
        <w:rPr>
          <w:rFonts w:hint="eastAsia"/>
          <w:sz w:val="24"/>
          <w:highlight w:val="none"/>
          <w:u w:val="single"/>
          <w:lang w:val="zh-TW"/>
        </w:rPr>
        <w:t xml:space="preserve">常州市金坛区金胜东路19号</w:t>
      </w:r>
      <w:r/>
    </w:p>
    <w:p>
      <w:pPr>
        <w:ind w:left="1076" w:hanging="297"/>
        <w:jc w:val="left"/>
        <w:spacing w:line="360" w:lineRule="auto"/>
        <w:tabs>
          <w:tab w:val="left" w:pos="5892" w:leader="none"/>
        </w:tabs>
        <w:rPr>
          <w:sz w:val="24"/>
          <w:highlight w:val="none"/>
          <w:u w:val="single"/>
        </w:rPr>
      </w:pPr>
      <w:r>
        <w:rPr>
          <w:sz w:val="24"/>
          <w:highlight w:val="none"/>
        </w:rPr>
        <w:t xml:space="preserve">联系方式：</w:t>
      </w:r>
      <w:r>
        <w:rPr>
          <w:rFonts w:hint="eastAsia"/>
          <w:sz w:val="24"/>
          <w:highlight w:val="none"/>
          <w:u w:val="single"/>
        </w:rPr>
        <w:t xml:space="preserve">0519-82807908</w:t>
      </w:r>
      <w:r/>
    </w:p>
    <w:p>
      <w:pPr>
        <w:ind w:firstLine="723"/>
        <w:spacing w:line="360" w:lineRule="auto"/>
        <w:rPr>
          <w:b/>
          <w:sz w:val="24"/>
          <w:highlight w:val="none"/>
          <w:u w:val="single"/>
        </w:rPr>
      </w:pPr>
      <w:r>
        <w:rPr>
          <w:b/>
          <w:sz w:val="24"/>
          <w:highlight w:val="none"/>
        </w:rPr>
        <w:t xml:space="preserve">3.项目联系方式</w:t>
      </w:r>
      <w:bookmarkEnd w:id="31"/>
      <w:r/>
      <w:bookmarkEnd w:id="32"/>
      <w:r/>
      <w:r/>
    </w:p>
    <w:p>
      <w:pPr>
        <w:pStyle w:val="1260"/>
        <w:ind w:left="1076" w:hanging="297"/>
        <w:spacing w:line="360" w:lineRule="auto"/>
        <w:rPr>
          <w:rFonts w:hint="default" w:ascii="Times New Roman" w:hAnsi="Times New Roman"/>
          <w:sz w:val="24"/>
          <w:szCs w:val="24"/>
          <w:highlight w:val="none"/>
          <w:u w:val="single"/>
        </w:rPr>
      </w:pPr>
      <w:r>
        <w:rPr>
          <w:rFonts w:ascii="Times New Roman" w:hAnsi="Times New Roman"/>
          <w:sz w:val="24"/>
          <w:szCs w:val="24"/>
          <w:highlight w:val="none"/>
        </w:rPr>
        <w:t xml:space="preserve">项目联系人：</w:t>
      </w:r>
      <w:r>
        <w:rPr>
          <w:rFonts w:ascii="Times New Roman" w:hAnsi="Times New Roman"/>
          <w:sz w:val="24"/>
          <w:szCs w:val="24"/>
          <w:highlight w:val="none"/>
          <w:u w:val="single"/>
        </w:rPr>
        <w:t xml:space="preserve">张女士 </w:t>
      </w:r>
      <w:r/>
    </w:p>
    <w:p>
      <w:pPr>
        <w:pStyle w:val="1260"/>
        <w:ind w:left="1076" w:hanging="297"/>
        <w:spacing w:line="360" w:lineRule="auto"/>
        <w:rPr>
          <w:rFonts w:hint="default"/>
          <w:sz w:val="24"/>
          <w:highlight w:val="none"/>
        </w:rPr>
      </w:pPr>
      <w:r>
        <w:rPr>
          <w:rFonts w:ascii="Times New Roman" w:hAnsi="Times New Roman"/>
          <w:sz w:val="24"/>
          <w:highlight w:val="none"/>
        </w:rPr>
        <w:t xml:space="preserve">电      话：</w:t>
      </w:r>
      <w:r>
        <w:rPr>
          <w:rFonts w:ascii="Times New Roman" w:hAnsi="Times New Roman"/>
          <w:sz w:val="24"/>
          <w:highlight w:val="none"/>
          <w:u w:val="single"/>
        </w:rPr>
        <w:t xml:space="preserve">0519-82807908</w:t>
      </w:r>
      <w:r/>
    </w:p>
    <w:p>
      <w:pPr>
        <w:jc w:val="center"/>
        <w:spacing w:line="360" w:lineRule="auto"/>
        <w:rPr>
          <w:b/>
          <w:sz w:val="32"/>
          <w:szCs w:val="32"/>
          <w:highlight w:val="none"/>
        </w:rPr>
        <w:outlineLvl w:val="0"/>
      </w:pPr>
      <w:r>
        <w:rPr>
          <w:sz w:val="24"/>
          <w:highlight w:val="none"/>
        </w:rPr>
        <w:br w:type="page" w:clear="all"/>
      </w:r>
      <w:bookmarkStart w:id="33" w:name="_Toc305158928"/>
      <w:r/>
      <w:bookmarkStart w:id="34" w:name="_Toc264969275"/>
      <w:r/>
      <w:bookmarkStart w:id="35" w:name="_Toc127161488"/>
      <w:r/>
      <w:bookmarkStart w:id="36" w:name="_Toc265228423"/>
      <w:r/>
      <w:bookmarkStart w:id="37" w:name="_Toc512937850"/>
      <w:r/>
      <w:bookmarkStart w:id="38" w:name="_Toc353825548"/>
      <w:r/>
      <w:bookmarkStart w:id="39" w:name="_Toc195842950"/>
      <w:r/>
      <w:bookmarkStart w:id="40" w:name="_Toc305158854"/>
      <w:r/>
      <w:bookmarkStart w:id="41" w:name="_Toc226965856"/>
      <w:r/>
      <w:bookmarkStart w:id="42" w:name="_Toc353873938"/>
      <w:r/>
      <w:bookmarkStart w:id="43" w:name="_Toc150774783"/>
      <w:r/>
      <w:bookmarkStart w:id="44" w:name="_Toc127151777"/>
      <w:r/>
      <w:bookmarkStart w:id="45" w:name="_Toc99301420"/>
      <w:r>
        <w:rPr>
          <w:b/>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223"/>
        <w:spacing w:before="0" w:line="360" w:lineRule="auto"/>
        <w:tabs>
          <w:tab w:val="center" w:pos="4592" w:leader="none"/>
          <w:tab w:val="left" w:pos="7860" w:leader="none"/>
        </w:tabs>
        <w:rPr>
          <w:rFonts w:ascii="Times New Roman" w:hAnsi="Times New Roman" w:eastAsia="宋体"/>
          <w:sz w:val="28"/>
          <w:highlight w:val="none"/>
        </w:rPr>
      </w:pPr>
      <w:r/>
      <w:bookmarkStart w:id="46" w:name="_Toc151193907"/>
      <w:r/>
      <w:bookmarkStart w:id="47" w:name="_Toc149720812"/>
      <w:r/>
      <w:bookmarkStart w:id="48" w:name="_Toc226965709"/>
      <w:r/>
      <w:bookmarkStart w:id="49" w:name="_Toc151190146"/>
      <w:r/>
      <w:bookmarkStart w:id="50" w:name="_Toc164229214"/>
      <w:r/>
      <w:bookmarkStart w:id="51" w:name="_Toc164608788"/>
      <w:r/>
      <w:bookmarkStart w:id="52" w:name="_Toc127151720"/>
      <w:r/>
      <w:bookmarkStart w:id="53" w:name="_Toc151193833"/>
      <w:r/>
      <w:bookmarkStart w:id="54" w:name="_Toc150774619"/>
      <w:r/>
      <w:bookmarkStart w:id="55" w:name="_Toc127151519"/>
      <w:r/>
      <w:bookmarkStart w:id="56" w:name="_Toc150509270"/>
      <w:r/>
      <w:bookmarkStart w:id="57" w:name="_Toc226309763"/>
      <w:r/>
      <w:bookmarkStart w:id="58" w:name="_Toc520356144"/>
      <w:r/>
      <w:bookmarkStart w:id="59" w:name="_Toc164229360"/>
      <w:r/>
      <w:bookmarkStart w:id="60" w:name="_Toc164608633"/>
      <w:r/>
      <w:bookmarkStart w:id="61" w:name="_Toc195842884"/>
      <w:r/>
      <w:bookmarkStart w:id="62" w:name="_Toc150774724"/>
      <w:r/>
      <w:bookmarkStart w:id="63" w:name="_Toc226965792"/>
      <w:r/>
      <w:bookmarkStart w:id="64" w:name="_Toc164351613"/>
      <w:r/>
      <w:bookmarkStart w:id="65" w:name="_Toc151193689"/>
      <w:r/>
      <w:bookmarkStart w:id="66" w:name="_Toc151193617"/>
      <w:r/>
      <w:bookmarkStart w:id="67" w:name="_Toc142311021"/>
      <w:r/>
      <w:bookmarkStart w:id="68" w:name="_Toc127161433"/>
      <w:r/>
      <w:bookmarkStart w:id="69" w:name="_Toc226337215"/>
      <w:r/>
      <w:bookmarkStart w:id="70" w:name="_Toc150480757"/>
      <w:r/>
      <w:bookmarkStart w:id="71" w:name="_Toc151193761"/>
      <w:r>
        <w:rPr>
          <w:rFonts w:ascii="Times New Roman" w:hAnsi="Times New Roman" w:eastAsia="宋体"/>
          <w:sz w:val="28"/>
          <w:highlight w:val="none"/>
        </w:rPr>
        <w:t xml:space="preserve">投标人须知资料表</w:t>
      </w:r>
      <w:r/>
    </w:p>
    <w:p>
      <w:pPr>
        <w:ind w:firstLine="480"/>
        <w:spacing w:line="360" w:lineRule="auto"/>
        <w:rPr>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1043"/>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b/>
                <w:bCs/>
                <w:sz w:val="24"/>
                <w:highlight w:val="none"/>
              </w:rPr>
            </w:pPr>
            <w:r>
              <w:rPr>
                <w:b/>
                <w:sz w:val="24"/>
                <w:highlight w:val="none"/>
              </w:rPr>
              <w:t xml:space="preserve">条款号</w:t>
            </w:r>
            <w:r/>
          </w:p>
        </w:tc>
        <w:tc>
          <w:tcPr>
            <w:tcW w:w="1954" w:type="dxa"/>
            <w:vAlign w:val="center"/>
            <w:textDirection w:val="lrTb"/>
            <w:noWrap w:val="false"/>
          </w:tcPr>
          <w:p>
            <w:pPr>
              <w:jc w:val="center"/>
              <w:rPr>
                <w:b/>
                <w:bCs/>
                <w:sz w:val="24"/>
                <w:highlight w:val="none"/>
              </w:rPr>
            </w:pPr>
            <w:r>
              <w:rPr>
                <w:b/>
                <w:bCs/>
                <w:sz w:val="24"/>
                <w:highlight w:val="none"/>
              </w:rPr>
              <w:t xml:space="preserve">条目</w:t>
            </w:r>
            <w:r/>
          </w:p>
        </w:tc>
        <w:tc>
          <w:tcPr>
            <w:tcW w:w="7358"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2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w:t>
            </w:r>
            <w:r/>
          </w:p>
        </w:tc>
        <w:tc>
          <w:tcPr>
            <w:tcW w:w="1954" w:type="dxa"/>
            <w:vAlign w:val="center"/>
            <w:textDirection w:val="lrTb"/>
            <w:noWrap w:val="false"/>
          </w:tcPr>
          <w:p>
            <w:pPr>
              <w:jc w:val="center"/>
              <w:rPr>
                <w:sz w:val="24"/>
                <w:highlight w:val="none"/>
              </w:rPr>
            </w:pPr>
            <w:r>
              <w:rPr>
                <w:sz w:val="24"/>
                <w:highlight w:val="none"/>
              </w:rPr>
              <w:t xml:space="preserve">项目属性</w:t>
            </w:r>
            <w:r/>
          </w:p>
        </w:tc>
        <w:tc>
          <w:tcPr>
            <w:tcW w:w="7358" w:type="dxa"/>
            <w:vAlign w:val="center"/>
            <w:textDirection w:val="lrTb"/>
            <w:noWrap w:val="false"/>
          </w:tcPr>
          <w:p>
            <w:pPr>
              <w:jc w:val="left"/>
              <w:rPr>
                <w:sz w:val="24"/>
                <w:highlight w:val="none"/>
                <w:u w:val="single"/>
              </w:rPr>
            </w:pPr>
            <w:r>
              <w:rPr>
                <w:sz w:val="24"/>
                <w:highlight w:val="none"/>
              </w:rPr>
              <w:t xml:space="preserve">项目属性：</w:t>
            </w:r>
            <w:r>
              <w:rPr>
                <w:rFonts w:hint="eastAsia"/>
                <w:color w:val="000000" w:themeColor="text1"/>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服务</w:t>
            </w:r>
            <w:r/>
          </w:p>
        </w:tc>
      </w:tr>
      <w:tr>
        <w:trPr>
          <w:jc w:val="center"/>
          <w:trHeight w:val="547"/>
        </w:trPr>
        <w:tc>
          <w:tcPr>
            <w:tcW w:w="1099" w:type="dxa"/>
            <w:vAlign w:val="center"/>
            <w:vMerge w:val="restart"/>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2</w:t>
            </w:r>
            <w:r/>
          </w:p>
        </w:tc>
        <w:tc>
          <w:tcPr>
            <w:tcW w:w="1954" w:type="dxa"/>
            <w:vAlign w:val="center"/>
            <w:textDirection w:val="lrTb"/>
            <w:noWrap w:val="false"/>
          </w:tcPr>
          <w:p>
            <w:pPr>
              <w:jc w:val="center"/>
              <w:rPr>
                <w:sz w:val="24"/>
                <w:highlight w:val="none"/>
              </w:rPr>
            </w:pPr>
            <w:r>
              <w:rPr>
                <w:sz w:val="24"/>
                <w:highlight w:val="none"/>
              </w:rPr>
              <w:t xml:space="preserve">现场考察</w:t>
            </w:r>
            <w:r/>
          </w:p>
        </w:tc>
        <w:tc>
          <w:tcPr>
            <w:tcW w:w="7358" w:type="dxa"/>
            <w:vAlign w:val="center"/>
            <w:textDirection w:val="lrTb"/>
            <w:noWrap w:val="false"/>
          </w:tcPr>
          <w:p>
            <w:pPr>
              <w:jc w:val="left"/>
              <w:rPr>
                <w:highlight w:val="none"/>
              </w:rPr>
            </w:pP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不组织</w:t>
            </w:r>
            <w:r/>
          </w:p>
        </w:tc>
      </w:tr>
      <w:tr>
        <w:trPr>
          <w:jc w:val="center"/>
          <w:trHeight w:val="441"/>
        </w:trPr>
        <w:tc>
          <w:tcPr>
            <w:tcW w:w="1099" w:type="dxa"/>
            <w:vAlign w:val="center"/>
            <w:vMerge w:val="continue"/>
            <w:textDirection w:val="lrTb"/>
            <w:noWrap w:val="false"/>
          </w:tcPr>
          <w:p>
            <w:pPr>
              <w:pStyle w:val="1260"/>
              <w:jc w:val="center"/>
              <w:rPr>
                <w:rFonts w:hint="default" w:ascii="Times New Roman" w:hAnsi="Times New Roman"/>
                <w:sz w:val="24"/>
                <w:szCs w:val="24"/>
                <w:highlight w:val="none"/>
              </w:rPr>
            </w:pPr>
            <w:r>
              <w:rPr>
                <w:rFonts w:hint="default" w:ascii="Times New Roman" w:hAnsi="Times New Roman"/>
                <w:sz w:val="24"/>
                <w:szCs w:val="24"/>
                <w:highlight w:val="none"/>
              </w:rPr>
            </w:r>
            <w:r/>
          </w:p>
        </w:tc>
        <w:tc>
          <w:tcPr>
            <w:tcW w:w="1954" w:type="dxa"/>
            <w:vAlign w:val="center"/>
            <w:textDirection w:val="lrTb"/>
            <w:noWrap w:val="false"/>
          </w:tcPr>
          <w:p>
            <w:pPr>
              <w:jc w:val="center"/>
              <w:rPr>
                <w:sz w:val="24"/>
                <w:highlight w:val="none"/>
              </w:rPr>
            </w:pPr>
            <w:r>
              <w:rPr>
                <w:sz w:val="24"/>
                <w:highlight w:val="none"/>
              </w:rPr>
              <w:t xml:space="preserve">开标前答疑会</w:t>
            </w:r>
            <w:r/>
          </w:p>
        </w:tc>
        <w:tc>
          <w:tcPr>
            <w:tcW w:w="7358" w:type="dxa"/>
            <w:vAlign w:val="center"/>
            <w:textDirection w:val="lrTb"/>
            <w:noWrap w:val="false"/>
          </w:tcPr>
          <w:p>
            <w:pPr>
              <w:jc w:val="left"/>
              <w:rPr>
                <w:highlight w:val="none"/>
              </w:rPr>
            </w:pP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不召开</w:t>
            </w:r>
            <w:r/>
          </w:p>
        </w:tc>
      </w:tr>
      <w:tr>
        <w:trPr>
          <w:jc w:val="center"/>
          <w:trHeight w:val="571"/>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3</w:t>
            </w:r>
            <w:r/>
          </w:p>
        </w:tc>
        <w:tc>
          <w:tcPr>
            <w:tcW w:w="1954" w:type="dxa"/>
            <w:vAlign w:val="center"/>
            <w:textDirection w:val="lrTb"/>
            <w:noWrap w:val="false"/>
          </w:tcPr>
          <w:p>
            <w:pPr>
              <w:jc w:val="center"/>
              <w:rPr>
                <w:sz w:val="24"/>
                <w:highlight w:val="none"/>
              </w:rPr>
            </w:pPr>
            <w:r>
              <w:rPr>
                <w:sz w:val="24"/>
                <w:highlight w:val="none"/>
              </w:rPr>
              <w:t xml:space="preserve">标的所属行业</w:t>
            </w:r>
            <w:r/>
          </w:p>
        </w:tc>
        <w:tc>
          <w:tcPr>
            <w:tcW w:w="7358"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sz w:val="24"/>
                <w:highlight w:val="none"/>
              </w:rPr>
              <w:t xml:space="preserve">其他未列明</w:t>
            </w:r>
            <w:r/>
          </w:p>
        </w:tc>
      </w:tr>
      <w:tr>
        <w:trPr>
          <w:jc w:val="center"/>
          <w:trHeight w:val="476"/>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4</w:t>
            </w:r>
            <w:r/>
          </w:p>
        </w:tc>
        <w:tc>
          <w:tcPr>
            <w:tcW w:w="1954" w:type="dxa"/>
            <w:vAlign w:val="center"/>
            <w:textDirection w:val="lrTb"/>
            <w:noWrap w:val="false"/>
          </w:tcPr>
          <w:p>
            <w:pPr>
              <w:jc w:val="center"/>
              <w:rPr>
                <w:sz w:val="24"/>
                <w:highlight w:val="none"/>
              </w:rPr>
            </w:pPr>
            <w:r>
              <w:rPr>
                <w:rFonts w:hint="eastAsia"/>
                <w:sz w:val="24"/>
                <w:highlight w:val="none"/>
              </w:rPr>
              <w:t xml:space="preserve">投标报价</w:t>
            </w:r>
            <w:r/>
          </w:p>
        </w:tc>
        <w:tc>
          <w:tcPr>
            <w:tcW w:w="7358" w:type="dxa"/>
            <w:vAlign w:val="center"/>
            <w:textDirection w:val="lrTb"/>
            <w:noWrap w:val="false"/>
          </w:tcPr>
          <w:p>
            <w:pPr>
              <w:jc w:val="left"/>
              <w:rPr>
                <w:sz w:val="24"/>
                <w:highlight w:val="none"/>
              </w:rPr>
            </w:pPr>
            <w:r>
              <w:rPr>
                <w:rFonts w:hint="eastAsia"/>
                <w:sz w:val="24"/>
                <w:highlight w:val="none"/>
              </w:rPr>
              <w:t xml:space="preserve">投标报价的特殊规定：</w:t>
            </w:r>
            <w:r>
              <w:rPr>
                <w:rFonts w:hint="eastAsia"/>
                <w:color w:val="000000" w:themeColor="text1"/>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无</w:t>
            </w:r>
            <w:r/>
          </w:p>
        </w:tc>
      </w:tr>
      <w:tr>
        <w:trPr>
          <w:jc w:val="center"/>
          <w:trHeight w:val="386"/>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5</w:t>
            </w:r>
            <w:r/>
          </w:p>
        </w:tc>
        <w:tc>
          <w:tcPr>
            <w:tcW w:w="1954"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358"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37"/>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6</w:t>
            </w:r>
            <w:r/>
          </w:p>
        </w:tc>
        <w:tc>
          <w:tcPr>
            <w:tcW w:w="1954" w:type="dxa"/>
            <w:vAlign w:val="center"/>
            <w:textDirection w:val="lrTb"/>
            <w:noWrap w:val="false"/>
          </w:tcPr>
          <w:p>
            <w:pPr>
              <w:jc w:val="center"/>
              <w:rPr>
                <w:sz w:val="24"/>
                <w:highlight w:val="none"/>
              </w:rPr>
            </w:pPr>
            <w:r>
              <w:rPr>
                <w:rFonts w:hint="eastAsia"/>
                <w:sz w:val="24"/>
                <w:highlight w:val="none"/>
              </w:rPr>
              <w:t xml:space="preserve">履约保证金</w:t>
            </w:r>
            <w:r/>
          </w:p>
        </w:tc>
        <w:tc>
          <w:tcPr>
            <w:tcW w:w="7358" w:type="dxa"/>
            <w:vAlign w:val="center"/>
            <w:textDirection w:val="lrTb"/>
            <w:noWrap w:val="false"/>
          </w:tcPr>
          <w:p>
            <w:pPr>
              <w:jc w:val="left"/>
              <w:rPr>
                <w:rFonts w:hint="default" w:eastAsia="宋体"/>
                <w:sz w:val="24"/>
                <w:highlight w:val="none"/>
                <w:lang w:val="en-US" w:eastAsia="zh-CN"/>
              </w:rPr>
            </w:pPr>
            <w:r>
              <w:rPr>
                <w:rFonts w:hint="eastAsia"/>
                <w:sz w:val="24"/>
                <w:highlight w:val="none"/>
              </w:rPr>
            </w:r>
            <w:r>
              <w:rPr>
                <w:rFonts w:ascii="SimSun" w:hAnsi="SimSun" w:eastAsia="SimSun" w:cs="SimSun"/>
                <w:color w:val="000000"/>
                <w:sz w:val="24"/>
              </w:rPr>
              <w:t xml:space="preserve">本项目履约保证金为合同价的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rPr>
              <w:t xml:space="preserve">（中标供应商自主选择以支票、汇票、本票、保函等非现金形式缴纳或递交），采购人将在终验完毕后返还乙方履约保证金。</w:t>
            </w:r>
            <w:r>
              <w:rPr>
                <w:rFonts w:hint="eastAsia"/>
                <w:sz w:val="24"/>
                <w:highlight w:val="none"/>
              </w:rPr>
            </w:r>
            <w:r/>
          </w:p>
        </w:tc>
      </w:tr>
      <w:tr>
        <w:trPr>
          <w:jc w:val="center"/>
          <w:trHeight w:val="46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7</w:t>
            </w:r>
            <w:r/>
          </w:p>
        </w:tc>
        <w:tc>
          <w:tcPr>
            <w:tcW w:w="1954" w:type="dxa"/>
            <w:vAlign w:val="center"/>
            <w:textDirection w:val="lrTb"/>
            <w:noWrap w:val="false"/>
          </w:tcPr>
          <w:p>
            <w:pPr>
              <w:jc w:val="center"/>
              <w:rPr>
                <w:sz w:val="24"/>
                <w:highlight w:val="none"/>
              </w:rPr>
            </w:pPr>
            <w:r>
              <w:rPr>
                <w:sz w:val="24"/>
                <w:highlight w:val="none"/>
              </w:rPr>
              <w:t xml:space="preserve">投标有效期</w:t>
            </w:r>
            <w:r/>
          </w:p>
        </w:tc>
        <w:tc>
          <w:tcPr>
            <w:tcW w:w="7358"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90</w:t>
            </w:r>
            <w:r>
              <w:rPr>
                <w:sz w:val="24"/>
                <w:highlight w:val="none"/>
              </w:rPr>
              <w:t xml:space="preserve">日历天。</w:t>
            </w:r>
            <w:r/>
          </w:p>
        </w:tc>
      </w:tr>
      <w:tr>
        <w:trPr>
          <w:jc w:val="center"/>
          <w:trHeight w:val="46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8</w:t>
            </w:r>
            <w:r/>
          </w:p>
        </w:tc>
        <w:tc>
          <w:tcPr>
            <w:tcW w:w="1954" w:type="dxa"/>
            <w:vAlign w:val="center"/>
            <w:textDirection w:val="lrTb"/>
            <w:noWrap w:val="false"/>
          </w:tcPr>
          <w:p>
            <w:pPr>
              <w:jc w:val="center"/>
              <w:rPr>
                <w:sz w:val="24"/>
                <w:highlight w:val="none"/>
              </w:rPr>
            </w:pPr>
            <w:r>
              <w:rPr>
                <w:rFonts w:hint="eastAsia"/>
                <w:sz w:val="24"/>
                <w:highlight w:val="none"/>
              </w:rPr>
              <w:t xml:space="preserve">评标方法及标准</w:t>
            </w:r>
            <w:r/>
          </w:p>
        </w:tc>
        <w:tc>
          <w:tcPr>
            <w:tcW w:w="7358" w:type="dxa"/>
            <w:vAlign w:val="center"/>
            <w:textDirection w:val="lrTb"/>
            <w:noWrap w:val="false"/>
          </w:tcPr>
          <w:p>
            <w:pPr>
              <w:jc w:val="left"/>
              <w:rPr>
                <w:sz w:val="24"/>
                <w:highlight w:val="none"/>
              </w:rPr>
            </w:pPr>
            <w:r>
              <w:rPr>
                <w:rFonts w:hint="eastAsia"/>
                <w:sz w:val="24"/>
                <w:highlight w:val="none"/>
              </w:rPr>
              <w:t xml:space="preserve">本项目采用综合评分法</w:t>
            </w:r>
            <w:r/>
          </w:p>
        </w:tc>
      </w:tr>
      <w:tr>
        <w:trPr>
          <w:jc w:val="center"/>
          <w:trHeight w:val="464"/>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9</w:t>
            </w:r>
            <w:r/>
          </w:p>
        </w:tc>
        <w:tc>
          <w:tcPr>
            <w:tcW w:w="1954" w:type="dxa"/>
            <w:vAlign w:val="center"/>
            <w:textDirection w:val="lrTb"/>
            <w:noWrap w:val="false"/>
          </w:tcPr>
          <w:p>
            <w:pPr>
              <w:jc w:val="center"/>
              <w:rPr>
                <w:sz w:val="24"/>
                <w:highlight w:val="none"/>
              </w:rPr>
            </w:pPr>
            <w:r>
              <w:rPr>
                <w:sz w:val="24"/>
                <w:highlight w:val="none"/>
              </w:rPr>
              <w:t xml:space="preserve">分包</w:t>
            </w:r>
            <w:r/>
          </w:p>
        </w:tc>
        <w:tc>
          <w:tcPr>
            <w:tcW w:w="7358" w:type="dxa"/>
            <w:vAlign w:val="center"/>
            <w:textDirection w:val="lrTb"/>
            <w:noWrap w:val="false"/>
          </w:tcPr>
          <w:p>
            <w:pPr>
              <w:jc w:val="left"/>
              <w:rPr>
                <w:sz w:val="24"/>
                <w:highlight w:val="none"/>
                <w:u w:val="single"/>
              </w:rPr>
            </w:pPr>
            <w:r>
              <w:rPr>
                <w:sz w:val="24"/>
                <w:highlight w:val="none"/>
              </w:rPr>
              <w:t xml:space="preserve">本项目的非主体、非关键性工作是否允许分包： </w:t>
            </w:r>
            <w:r>
              <w:rPr>
                <w:rFonts w:hint="eastAsia"/>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不允许</w:t>
            </w:r>
            <w:r/>
          </w:p>
        </w:tc>
      </w:tr>
      <w:tr>
        <w:trPr>
          <w:jc w:val="center"/>
          <w:trHeight w:val="437"/>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10</w:t>
            </w:r>
            <w:r/>
          </w:p>
        </w:tc>
        <w:tc>
          <w:tcPr>
            <w:tcW w:w="1954" w:type="dxa"/>
            <w:vAlign w:val="center"/>
            <w:textDirection w:val="lrTb"/>
            <w:noWrap w:val="false"/>
          </w:tcPr>
          <w:p>
            <w:pPr>
              <w:jc w:val="center"/>
              <w:rPr>
                <w:sz w:val="24"/>
                <w:highlight w:val="none"/>
              </w:rPr>
            </w:pPr>
            <w:r>
              <w:rPr>
                <w:sz w:val="24"/>
                <w:highlight w:val="none"/>
              </w:rPr>
              <w:t xml:space="preserve">询问</w:t>
            </w:r>
            <w:r/>
          </w:p>
        </w:tc>
        <w:tc>
          <w:tcPr>
            <w:tcW w:w="7358" w:type="dxa"/>
            <w:vAlign w:val="center"/>
            <w:textDirection w:val="lrTb"/>
            <w:noWrap w:val="false"/>
          </w:tcPr>
          <w:p>
            <w:pPr>
              <w:jc w:val="left"/>
              <w:rPr>
                <w:sz w:val="24"/>
                <w:highlight w:val="none"/>
              </w:rPr>
            </w:pPr>
            <w:r>
              <w:rPr>
                <w:sz w:val="24"/>
                <w:highlight w:val="none"/>
              </w:rPr>
              <w:t xml:space="preserve">询问送达形式：</w:t>
            </w:r>
            <w:r>
              <w:rPr>
                <w:rFonts w:hint="eastAsia"/>
                <w:color w:val="000000" w:themeColor="text1"/>
                <w:sz w:val="24"/>
                <w:highlight w:val="none"/>
                <w:u w:val="single"/>
                <w14:textFill>
                  <w14:solidFill>
                    <w14:schemeClr w14:val="tx1"/>
                  </w14:solidFill>
                </w14:textFill>
              </w:rPr>
              <w:t xml:space="preserve">书面形式</w:t>
            </w:r>
            <w:r/>
          </w:p>
        </w:tc>
      </w:tr>
      <w:tr>
        <w:trPr>
          <w:jc w:val="center"/>
          <w:trHeight w:val="20"/>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11</w:t>
            </w:r>
            <w:r/>
          </w:p>
        </w:tc>
        <w:tc>
          <w:tcPr>
            <w:tcW w:w="1954" w:type="dxa"/>
            <w:vAlign w:val="center"/>
            <w:textDirection w:val="lrTb"/>
            <w:noWrap w:val="false"/>
          </w:tcPr>
          <w:p>
            <w:pPr>
              <w:jc w:val="center"/>
              <w:rPr>
                <w:sz w:val="24"/>
                <w:highlight w:val="none"/>
              </w:rPr>
            </w:pPr>
            <w:r>
              <w:rPr>
                <w:sz w:val="24"/>
                <w:highlight w:val="none"/>
              </w:rPr>
              <w:t xml:space="preserve">联系方式</w:t>
            </w:r>
            <w:r/>
          </w:p>
        </w:tc>
        <w:tc>
          <w:tcPr>
            <w:tcW w:w="7358"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u w:val="single"/>
                <w:lang w:eastAsia="zh-CN"/>
              </w:rPr>
              <w:t xml:space="preserve">江苏华溯工程项目管理有限公司</w:t>
            </w:r>
            <w:r>
              <w:rPr>
                <w:sz w:val="24"/>
                <w:highlight w:val="none"/>
              </w:rPr>
              <w:t xml:space="preserve">；</w:t>
            </w:r>
            <w:r/>
          </w:p>
          <w:p>
            <w:pPr>
              <w:jc w:val="left"/>
              <w:rPr>
                <w:sz w:val="24"/>
                <w:highlight w:val="none"/>
              </w:rPr>
            </w:pPr>
            <w:r>
              <w:rPr>
                <w:sz w:val="24"/>
                <w:highlight w:val="none"/>
              </w:rPr>
              <w:t xml:space="preserve">联系电话：</w:t>
            </w:r>
            <w:r>
              <w:rPr>
                <w:rFonts w:hint="eastAsia"/>
                <w:sz w:val="24"/>
                <w:highlight w:val="none"/>
                <w:u w:val="single"/>
              </w:rPr>
              <w:t xml:space="preserve">0519-82807908</w:t>
            </w:r>
            <w:r>
              <w:rPr>
                <w:sz w:val="24"/>
                <w:highlight w:val="none"/>
              </w:rPr>
              <w:t xml:space="preserve">；</w:t>
            </w:r>
            <w:r/>
          </w:p>
          <w:p>
            <w:pPr>
              <w:jc w:val="left"/>
              <w:rPr>
                <w:sz w:val="24"/>
                <w:highlight w:val="none"/>
              </w:rPr>
            </w:pPr>
            <w:r>
              <w:rPr>
                <w:sz w:val="24"/>
                <w:highlight w:val="none"/>
              </w:rPr>
              <w:t xml:space="preserve">通讯地址：</w:t>
            </w:r>
            <w:r>
              <w:rPr>
                <w:rFonts w:hint="eastAsia"/>
                <w:sz w:val="24"/>
                <w:highlight w:val="none"/>
                <w:u w:val="single"/>
                <w:lang w:eastAsia="zh-CN"/>
              </w:rPr>
              <w:t xml:space="preserve">常州市金坛区金胜东路19号</w:t>
            </w:r>
            <w:r>
              <w:rPr>
                <w:sz w:val="24"/>
                <w:highlight w:val="none"/>
              </w:rPr>
              <w:t xml:space="preserve">。</w:t>
            </w:r>
            <w:r/>
          </w:p>
        </w:tc>
      </w:tr>
      <w:tr>
        <w:trPr>
          <w:jc w:val="center"/>
          <w:trHeight w:val="20"/>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12</w:t>
            </w:r>
            <w:r/>
          </w:p>
        </w:tc>
        <w:tc>
          <w:tcPr>
            <w:tcW w:w="1954" w:type="dxa"/>
            <w:vAlign w:val="center"/>
            <w:textDirection w:val="lrTb"/>
            <w:noWrap w:val="false"/>
          </w:tcPr>
          <w:p>
            <w:pPr>
              <w:jc w:val="center"/>
              <w:rPr>
                <w:sz w:val="24"/>
                <w:highlight w:val="none"/>
              </w:rPr>
            </w:pPr>
            <w:r>
              <w:rPr>
                <w:sz w:val="24"/>
                <w:highlight w:val="none"/>
              </w:rPr>
              <w:t xml:space="preserve">代理费</w:t>
            </w:r>
            <w:r/>
          </w:p>
        </w:tc>
        <w:tc>
          <w:tcPr>
            <w:tcW w:w="7358" w:type="dxa"/>
            <w:vAlign w:val="center"/>
            <w:textDirection w:val="lrTb"/>
            <w:noWrap w:val="false"/>
          </w:tcPr>
          <w:p>
            <w:pPr>
              <w:jc w:val="left"/>
              <w:rPr>
                <w:rFonts w:hint="default" w:eastAsia="宋体"/>
                <w:sz w:val="24"/>
                <w:highlight w:val="none"/>
                <w:lang w:val="en-US" w:eastAsia="zh-CN"/>
              </w:rPr>
            </w:pPr>
            <w:r>
              <w:rPr>
                <w:rFonts w:hint="eastAsia" w:ascii="宋体" w:hAnsi="宋体" w:cs="宋体"/>
                <w:sz w:val="28"/>
                <w:szCs w:val="28"/>
                <w:highlight w:val="none"/>
                <w:lang w:val="en-US" w:eastAsia="zh-CN"/>
              </w:rPr>
              <w:t xml:space="preserve">0.8%</w:t>
            </w:r>
            <w:r/>
          </w:p>
        </w:tc>
      </w:tr>
      <w:tr>
        <w:trPr>
          <w:jc w:val="center"/>
          <w:trHeight w:val="20"/>
        </w:trPr>
        <w:tc>
          <w:tcPr>
            <w:tcW w:w="1099" w:type="dxa"/>
            <w:vAlign w:val="center"/>
            <w:textDirection w:val="lrTb"/>
            <w:noWrap w:val="false"/>
          </w:tcPr>
          <w:p>
            <w:pPr>
              <w:pStyle w:val="1260"/>
              <w:jc w:val="center"/>
              <w:rPr>
                <w:rFonts w:hint="default" w:ascii="Times New Roman" w:hAnsi="Times New Roman"/>
                <w:sz w:val="24"/>
                <w:szCs w:val="24"/>
                <w:highlight w:val="none"/>
              </w:rPr>
            </w:pPr>
            <w:r>
              <w:rPr>
                <w:rFonts w:ascii="Times New Roman" w:hAnsi="Times New Roman"/>
                <w:sz w:val="24"/>
                <w:szCs w:val="24"/>
                <w:highlight w:val="none"/>
              </w:rPr>
              <w:t xml:space="preserve">13</w:t>
            </w:r>
            <w:r/>
          </w:p>
        </w:tc>
        <w:tc>
          <w:tcPr>
            <w:tcW w:w="1954" w:type="dxa"/>
            <w:vAlign w:val="center"/>
            <w:textDirection w:val="lrTb"/>
            <w:noWrap w:val="false"/>
          </w:tcPr>
          <w:p>
            <w:pPr>
              <w:jc w:val="center"/>
              <w:rPr>
                <w:sz w:val="24"/>
                <w:highlight w:val="none"/>
                <w:lang w:val="zh-TW"/>
              </w:rPr>
            </w:pPr>
            <w:r>
              <w:rPr>
                <w:rFonts w:hint="eastAsia"/>
                <w:sz w:val="24"/>
                <w:highlight w:val="none"/>
              </w:rPr>
              <w:t xml:space="preserve">投标文件份数</w:t>
            </w:r>
            <w:r/>
          </w:p>
        </w:tc>
        <w:tc>
          <w:tcPr>
            <w:tcW w:w="7358" w:type="dxa"/>
            <w:vAlign w:val="center"/>
            <w:textDirection w:val="lrTb"/>
            <w:noWrap w:val="false"/>
          </w:tcPr>
          <w:p>
            <w:pPr>
              <w:rPr>
                <w:sz w:val="24"/>
                <w:highlight w:val="none"/>
                <w:lang w:val="zh-TW"/>
              </w:rPr>
            </w:pPr>
            <w:r>
              <w:rPr>
                <w:rFonts w:hint="eastAsia"/>
                <w:sz w:val="24"/>
                <w:highlight w:val="none"/>
              </w:rPr>
              <w:t xml:space="preserve">无需提供纸质投标文件。</w:t>
            </w:r>
            <w:r>
              <w:rPr>
                <w:rFonts w:hint="eastAsia"/>
                <w:color w:val="000000" w:themeColor="text1"/>
                <w:sz w:val="24"/>
                <w:highlight w:val="none"/>
                <w14:textFill>
                  <w14:solidFill>
                    <w14:schemeClr w14:val="tx1"/>
                  </w14:solidFill>
                </w14:textFill>
              </w:rPr>
              <w:t xml:space="preserve">中标供应商在领取中标通知书前须向采购人额外提供从电子化招投标系统打印出的与投标所报电子文件一致的纸质投标书</w:t>
            </w:r>
            <w:r>
              <w:rPr>
                <w:rFonts w:hint="eastAsia"/>
                <w:color w:val="000000" w:themeColor="text1"/>
                <w:sz w:val="24"/>
                <w:highlight w:val="none"/>
                <w:u w:val="single"/>
                <w14:textFill>
                  <w14:solidFill>
                    <w14:schemeClr w14:val="tx1"/>
                  </w14:solidFill>
                </w14:textFill>
              </w:rPr>
              <w:t xml:space="preserve">  3  </w:t>
            </w:r>
            <w:r>
              <w:rPr>
                <w:rFonts w:hint="eastAsia"/>
                <w:color w:val="000000" w:themeColor="text1"/>
                <w:sz w:val="24"/>
                <w:highlight w:val="none"/>
                <w14:textFill>
                  <w14:solidFill>
                    <w14:schemeClr w14:val="tx1"/>
                  </w14:solidFill>
                </w14:textFill>
              </w:rPr>
              <w:t xml:space="preserve">份，并按要求签字盖章。</w:t>
            </w:r>
            <w:r/>
          </w:p>
        </w:tc>
      </w:tr>
    </w:tbl>
    <w:p>
      <w:pPr>
        <w:spacing w:line="360" w:lineRule="auto"/>
        <w:tabs>
          <w:tab w:val="left" w:pos="5580" w:leader="none"/>
        </w:tabs>
        <w:rPr>
          <w:sz w:val="24"/>
          <w:highlight w:val="none"/>
        </w:rPr>
        <w:sectPr>
          <w:headerReference w:type="default" r:id="rId10"/>
          <w:footerReference w:type="default" r:id="rId19"/>
          <w:footerReference w:type="first" r:id="rId20"/>
          <w:footnotePr/>
          <w:endnotePr/>
          <w:type w:val="nextPage"/>
          <w:pgSz w:w="11907" w:h="16840" w:orient="portrait"/>
          <w:pgMar w:top="1440" w:right="1080" w:bottom="1440" w:left="1080"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2" w:name="_Toc353825542"/>
      <w:r/>
      <w:bookmarkStart w:id="73" w:name="_Toc305158859"/>
      <w:r/>
      <w:bookmarkStart w:id="74" w:name="_Toc226965790"/>
      <w:r/>
      <w:bookmarkStart w:id="75" w:name="_Toc150480755"/>
      <w:r/>
      <w:bookmarkStart w:id="76" w:name="_Toc226337213"/>
      <w:r/>
      <w:bookmarkStart w:id="77" w:name="_Toc264969207"/>
      <w:r/>
      <w:bookmarkStart w:id="78" w:name="_Toc142311019"/>
      <w:r/>
      <w:bookmarkStart w:id="79" w:name="_Toc195842882"/>
      <w:r/>
      <w:bookmarkStart w:id="80" w:name="_Toc305158785"/>
      <w:r/>
      <w:bookmarkStart w:id="81" w:name="_Toc353873662"/>
      <w:r/>
      <w:bookmarkStart w:id="82" w:name="_Toc127151517"/>
      <w:r/>
      <w:bookmarkStart w:id="83" w:name="_Toc353873932"/>
      <w:r/>
      <w:bookmarkStart w:id="84" w:name="_Toc150774722"/>
      <w:r/>
      <w:bookmarkStart w:id="85" w:name="_Toc265228355"/>
      <w:r>
        <w:rPr>
          <w:b/>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223"/>
        <w:jc w:val="left"/>
        <w:spacing w:before="0" w:line="360" w:lineRule="auto"/>
        <w:tabs>
          <w:tab w:val="center" w:pos="4592" w:leader="none"/>
          <w:tab w:val="left" w:pos="7860" w:leader="none"/>
        </w:tabs>
        <w:rPr>
          <w:rFonts w:ascii="Times New Roman" w:hAnsi="Times New Roman" w:eastAsia="宋体"/>
          <w:sz w:val="28"/>
          <w:highlight w:val="none"/>
        </w:rPr>
      </w:pPr>
      <w:r/>
      <w:bookmarkStart w:id="86" w:name="_Toc127151518"/>
      <w:r/>
      <w:bookmarkStart w:id="87" w:name="_Toc520356143"/>
      <w:r>
        <w:rPr>
          <w:rFonts w:ascii="Times New Roman" w:hAnsi="Times New Roman" w:eastAsia="宋体"/>
          <w:sz w:val="28"/>
          <w:highlight w:val="none"/>
        </w:rPr>
        <w:tab/>
      </w:r>
      <w:bookmarkStart w:id="88" w:name="_Toc150480756"/>
      <w:r/>
      <w:bookmarkStart w:id="89" w:name="_Toc150774618"/>
      <w:r/>
      <w:bookmarkStart w:id="90" w:name="_Toc265228356"/>
      <w:r/>
      <w:bookmarkStart w:id="91" w:name="_Toc151193832"/>
      <w:r/>
      <w:bookmarkStart w:id="92" w:name="_Toc226965791"/>
      <w:r/>
      <w:bookmarkStart w:id="93" w:name="_Toc151190145"/>
      <w:r/>
      <w:bookmarkStart w:id="94" w:name="_Toc151193906"/>
      <w:r/>
      <w:bookmarkStart w:id="95" w:name="_Toc151193760"/>
      <w:r/>
      <w:bookmarkStart w:id="96" w:name="_Toc264969208"/>
      <w:r/>
      <w:bookmarkStart w:id="97" w:name="_Toc226965708"/>
      <w:r/>
      <w:bookmarkStart w:id="98" w:name="_Toc150509269"/>
      <w:r/>
      <w:bookmarkStart w:id="99" w:name="_Toc226309762"/>
      <w:r/>
      <w:bookmarkStart w:id="100" w:name="_Toc226337214"/>
      <w:r/>
      <w:bookmarkStart w:id="101" w:name="_Toc142311020"/>
      <w:r/>
      <w:bookmarkStart w:id="102" w:name="_Toc305158860"/>
      <w:r/>
      <w:bookmarkStart w:id="103" w:name="_Toc195842883"/>
      <w:r/>
      <w:bookmarkStart w:id="104" w:name="_Toc150774723"/>
      <w:r/>
      <w:bookmarkStart w:id="105" w:name="_Toc151193616"/>
      <w:r/>
      <w:bookmarkStart w:id="106" w:name="_Toc151193688"/>
      <w:r/>
      <w:bookmarkStart w:id="107" w:name="_Toc305158786"/>
      <w:r>
        <w:rPr>
          <w:rFonts w:ascii="Times New Roman" w:hAnsi="Times New Roman" w:eastAsia="宋体"/>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08" w:name="_Toc305158861"/>
      <w:r/>
      <w:bookmarkStart w:id="109" w:name="_Toc265228357"/>
      <w:r/>
      <w:bookmarkStart w:id="110" w:name="_Toc305158787"/>
      <w:r/>
      <w:bookmarkStart w:id="111" w:name="_Toc264969209"/>
      <w:r>
        <w:rPr>
          <w:sz w:val="24"/>
          <w:highlight w:val="none"/>
        </w:rPr>
        <w:t xml:space="preserve">采购人、采购代理机构、投标人</w:t>
      </w:r>
      <w:bookmarkEnd w:id="108"/>
      <w:r/>
      <w:bookmarkEnd w:id="109"/>
      <w:r/>
      <w:bookmarkEnd w:id="110"/>
      <w:r/>
      <w:bookmarkEnd w:id="111"/>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2" w:name="_Toc226337216"/>
      <w:r/>
      <w:bookmarkStart w:id="113" w:name="_Toc164608634"/>
      <w:r/>
      <w:bookmarkStart w:id="114" w:name="_Toc149720813"/>
      <w:r/>
      <w:bookmarkStart w:id="115" w:name="_Toc226965793"/>
      <w:r/>
      <w:bookmarkStart w:id="116" w:name="_Toc226965710"/>
      <w:r/>
      <w:bookmarkStart w:id="117" w:name="_Toc150480758"/>
      <w:r/>
      <w:bookmarkStart w:id="118" w:name="_Toc164608789"/>
      <w:r/>
      <w:bookmarkStart w:id="119" w:name="_Toc264969210"/>
      <w:r/>
      <w:bookmarkStart w:id="120" w:name="_Toc305158788"/>
      <w:r/>
      <w:bookmarkStart w:id="121" w:name="_Toc151193834"/>
      <w:r/>
      <w:bookmarkStart w:id="122" w:name="_Toc127151520"/>
      <w:r/>
      <w:bookmarkStart w:id="123" w:name="_Toc164229361"/>
      <w:r/>
      <w:bookmarkStart w:id="124" w:name="_Toc151193908"/>
      <w:r/>
      <w:bookmarkStart w:id="125" w:name="_Toc305158862"/>
      <w:r/>
      <w:bookmarkStart w:id="126" w:name="_Toc226309764"/>
      <w:r/>
      <w:bookmarkStart w:id="127" w:name="_Toc151193690"/>
      <w:r/>
      <w:bookmarkStart w:id="128" w:name="_Toc151193618"/>
      <w:r/>
      <w:bookmarkStart w:id="129" w:name="_Toc164229215"/>
      <w:r/>
      <w:bookmarkStart w:id="130" w:name="_Toc127161434"/>
      <w:r/>
      <w:bookmarkStart w:id="131" w:name="_Toc150774725"/>
      <w:r/>
      <w:bookmarkStart w:id="132" w:name="_Toc265228358"/>
      <w:r/>
      <w:bookmarkStart w:id="133" w:name="_Toc151190147"/>
      <w:r/>
      <w:bookmarkStart w:id="134" w:name="_Toc142311022"/>
      <w:r/>
      <w:bookmarkStart w:id="135" w:name="_Toc164351614"/>
      <w:r/>
      <w:bookmarkStart w:id="136" w:name="_Toc150774620"/>
      <w:r/>
      <w:bookmarkStart w:id="137" w:name="_Toc195842885"/>
      <w:r/>
      <w:bookmarkStart w:id="138" w:name="_Toc127151721"/>
      <w:r/>
      <w:bookmarkStart w:id="139" w:name="_Toc150509271"/>
      <w:r/>
      <w:bookmarkStart w:id="140" w:name="_Toc151193762"/>
      <w:r>
        <w:rPr>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1" w:name="_Toc226309766"/>
      <w:r/>
      <w:bookmarkStart w:id="142" w:name="_Toc265228360"/>
      <w:r/>
      <w:bookmarkStart w:id="143" w:name="_Toc150509273"/>
      <w:r/>
      <w:bookmarkStart w:id="144" w:name="_Toc151193692"/>
      <w:r/>
      <w:bookmarkStart w:id="145" w:name="_Toc151193910"/>
      <w:r/>
      <w:bookmarkStart w:id="146" w:name="_Toc150774622"/>
      <w:r/>
      <w:bookmarkStart w:id="147" w:name="_Toc264969212"/>
      <w:r/>
      <w:bookmarkStart w:id="148" w:name="_Toc142311024"/>
      <w:r/>
      <w:bookmarkStart w:id="149" w:name="_Toc226965712"/>
      <w:r/>
      <w:bookmarkStart w:id="150" w:name="_Toc151193620"/>
      <w:r/>
      <w:bookmarkStart w:id="151" w:name="_Toc226337218"/>
      <w:r/>
      <w:bookmarkStart w:id="152" w:name="_Toc226965795"/>
      <w:r/>
      <w:bookmarkStart w:id="153" w:name="_Toc305158790"/>
      <w:r/>
      <w:bookmarkStart w:id="154" w:name="_Toc151193764"/>
      <w:r/>
      <w:bookmarkStart w:id="155" w:name="_Toc127151522"/>
      <w:r/>
      <w:bookmarkStart w:id="156" w:name="_Toc151190149"/>
      <w:r/>
      <w:bookmarkStart w:id="157" w:name="_Toc305158864"/>
      <w:r/>
      <w:bookmarkStart w:id="158" w:name="_Toc150480760"/>
      <w:r/>
      <w:bookmarkStart w:id="159" w:name="_Toc520356146"/>
      <w:r/>
      <w:bookmarkStart w:id="160" w:name="_Toc150774727"/>
      <w:r/>
      <w:bookmarkStart w:id="161" w:name="_Toc151193836"/>
      <w:r/>
      <w:bookmarkStart w:id="162" w:name="_Toc195842887"/>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31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319"/>
        <w:numPr>
          <w:ilvl w:val="2"/>
          <w:numId w:val="9"/>
        </w:numPr>
        <w:spacing w:line="360" w:lineRule="auto"/>
        <w:tabs>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sz w:val="24"/>
          <w:highlight w:val="none"/>
        </w:rPr>
      </w:pPr>
      <w:r>
        <w:rPr>
          <w:rFonts w:hint="eastAsia"/>
          <w:sz w:val="24"/>
          <w:highlight w:val="none"/>
        </w:rPr>
        <w:t xml:space="preserve">绿色采购政策</w:t>
      </w:r>
      <w:r/>
    </w:p>
    <w:p>
      <w:pPr>
        <w:numPr>
          <w:ilvl w:val="2"/>
          <w:numId w:val="8"/>
        </w:numPr>
        <w:spacing w:line="360" w:lineRule="auto"/>
        <w:tabs>
          <w:tab w:val="left" w:pos="2014" w:leader="none"/>
        </w:tabs>
        <w:rPr>
          <w:sz w:val="24"/>
          <w:highlight w:val="none"/>
        </w:rPr>
      </w:pPr>
      <w:r>
        <w:rPr>
          <w:rFonts w:hint="eastAsia"/>
          <w:sz w:val="24"/>
          <w:highlight w:val="none"/>
        </w:rPr>
        <w:t xml:space="preserve">绿色数据中心政策 </w:t>
      </w:r>
      <w:r/>
    </w:p>
    <w:p>
      <w:pPr>
        <w:ind w:left="1080"/>
        <w:spacing w:line="360" w:lineRule="auto"/>
        <w:tabs>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sz w:val="24"/>
          <w:highlight w:val="none"/>
        </w:rPr>
      </w:pPr>
      <w:r>
        <w:rPr>
          <w:rFonts w:hint="eastAsia"/>
          <w:sz w:val="24"/>
          <w:highlight w:val="none"/>
        </w:rPr>
        <w:t xml:space="preserve">推广应用绿色建材</w:t>
      </w:r>
      <w:r/>
    </w:p>
    <w:p>
      <w:pPr>
        <w:ind w:left="1080"/>
        <w:spacing w:line="360" w:lineRule="auto"/>
        <w:tabs>
          <w:tab w:val="left" w:pos="2014" w:leader="none"/>
        </w:tabs>
        <w:rPr>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sz w:val="24"/>
          <w:highlight w:val="none"/>
        </w:rPr>
      </w:pPr>
      <w:r>
        <w:rPr>
          <w:rFonts w:hint="eastAsia"/>
          <w:sz w:val="24"/>
          <w:highlight w:val="none"/>
        </w:rPr>
        <w:t xml:space="preserve">优先使用低挥发性有机化合物产品</w:t>
      </w:r>
      <w:r/>
    </w:p>
    <w:p>
      <w:pPr>
        <w:ind w:left="1080"/>
        <w:spacing w:line="360" w:lineRule="auto"/>
        <w:tabs>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3" w:name="_1.8_计量单位"/>
      <w:r/>
      <w:bookmarkEnd w:id="163"/>
      <w:r/>
      <w:r/>
    </w:p>
    <w:p>
      <w:pPr>
        <w:pStyle w:val="122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sz w:val="24"/>
          <w:highlight w:val="none"/>
        </w:rPr>
        <w:outlineLvl w:val="1"/>
      </w:pPr>
      <w:r/>
      <w:bookmarkStart w:id="164" w:name="_Toc127151724"/>
      <w:r/>
      <w:bookmarkStart w:id="165" w:name="_Toc150509274"/>
      <w:r/>
      <w:bookmarkStart w:id="166" w:name="_Toc150774623"/>
      <w:r/>
      <w:bookmarkStart w:id="167" w:name="_Toc226965713"/>
      <w:r/>
      <w:bookmarkStart w:id="168" w:name="_Toc164229364"/>
      <w:r/>
      <w:bookmarkStart w:id="169" w:name="_Toc151193621"/>
      <w:r/>
      <w:bookmarkStart w:id="170" w:name="_Toc127161437"/>
      <w:r/>
      <w:bookmarkStart w:id="171" w:name="_Toc264969213"/>
      <w:r/>
      <w:bookmarkStart w:id="172" w:name="_Toc150480761"/>
      <w:r/>
      <w:bookmarkStart w:id="173" w:name="_Toc164608792"/>
      <w:r/>
      <w:bookmarkStart w:id="174" w:name="_Toc142311025"/>
      <w:r/>
      <w:bookmarkStart w:id="175" w:name="_Toc151193911"/>
      <w:r/>
      <w:bookmarkStart w:id="176" w:name="_Toc305158791"/>
      <w:r/>
      <w:bookmarkStart w:id="177" w:name="_Toc226337219"/>
      <w:r/>
      <w:bookmarkStart w:id="178" w:name="_Toc149720816"/>
      <w:r/>
      <w:bookmarkStart w:id="179" w:name="_Toc164608637"/>
      <w:r/>
      <w:bookmarkStart w:id="180" w:name="_Toc151193693"/>
      <w:r/>
      <w:bookmarkStart w:id="181" w:name="_Toc164351617"/>
      <w:r/>
      <w:bookmarkStart w:id="182" w:name="_Toc195842888"/>
      <w:r/>
      <w:bookmarkStart w:id="183" w:name="_Toc265228361"/>
      <w:r/>
      <w:bookmarkStart w:id="184" w:name="_Toc151193837"/>
      <w:r/>
      <w:bookmarkStart w:id="185" w:name="_Toc305158865"/>
      <w:r/>
      <w:bookmarkStart w:id="186" w:name="_Toc127151523"/>
      <w:r/>
      <w:bookmarkStart w:id="187" w:name="_Toc164229218"/>
      <w:r/>
      <w:bookmarkStart w:id="188" w:name="_Toc151190150"/>
      <w:r/>
      <w:bookmarkStart w:id="189" w:name="_Toc226309767"/>
      <w:r/>
      <w:bookmarkStart w:id="190" w:name="_Toc150774728"/>
      <w:r/>
      <w:bookmarkStart w:id="191" w:name="_Toc520356147"/>
      <w:r/>
      <w:bookmarkStart w:id="192" w:name="_Toc226965796"/>
      <w:r/>
      <w:bookmarkStart w:id="193" w:name="_Toc151193765"/>
      <w:r>
        <w:rPr>
          <w:sz w:val="24"/>
          <w:highlight w:val="none"/>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4" w:name="_Toc516367020"/>
      <w:r/>
      <w:bookmarkStart w:id="195" w:name="_Toc226965799"/>
      <w:r/>
      <w:bookmarkStart w:id="196" w:name="_Toc305158868"/>
      <w:r/>
      <w:bookmarkStart w:id="197" w:name="_Toc520356150"/>
      <w:r/>
      <w:bookmarkStart w:id="198" w:name="_Toc150774731"/>
      <w:r/>
      <w:bookmarkStart w:id="199" w:name="_Toc305158794"/>
      <w:r/>
      <w:bookmarkStart w:id="200" w:name="_Toc150509277"/>
      <w:r/>
      <w:bookmarkStart w:id="201" w:name="_Toc151193768"/>
      <w:r/>
      <w:bookmarkStart w:id="202" w:name="_Toc265228364"/>
      <w:r/>
      <w:bookmarkStart w:id="203" w:name="_Toc151193624"/>
      <w:r/>
      <w:bookmarkStart w:id="204" w:name="_Toc195842891"/>
      <w:r/>
      <w:bookmarkStart w:id="205" w:name="_Toc226309770"/>
      <w:r/>
      <w:bookmarkStart w:id="206" w:name="_Toc127151526"/>
      <w:r/>
      <w:bookmarkStart w:id="207" w:name="_Toc264969216"/>
      <w:r/>
      <w:bookmarkStart w:id="208" w:name="_Toc150480764"/>
      <w:r/>
      <w:bookmarkStart w:id="209" w:name="_Toc151193840"/>
      <w:r/>
      <w:bookmarkStart w:id="210" w:name="_Toc142311028"/>
      <w:r/>
      <w:bookmarkStart w:id="211" w:name="_Toc150774626"/>
      <w:r/>
      <w:bookmarkStart w:id="212" w:name="_Toc151190153"/>
      <w:r/>
      <w:bookmarkStart w:id="213" w:name="_Toc226965716"/>
      <w:r/>
      <w:bookmarkStart w:id="214" w:name="_Toc151193696"/>
      <w:r/>
      <w:bookmarkStart w:id="215" w:name="_Toc226337222"/>
      <w:r/>
      <w:bookmarkStart w:id="216" w:name="_Toc151193914"/>
      <w:r/>
      <w:r/>
    </w:p>
    <w:p>
      <w:pPr>
        <w:pStyle w:val="122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4"/>
      <w:r>
        <w:rPr>
          <w:rFonts w:ascii="Times New Roman" w:hAnsi="Times New Roman" w:eastAsia="宋体"/>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sz w:val="24"/>
          <w:highlight w:val="none"/>
        </w:rPr>
        <w:outlineLvl w:val="1"/>
      </w:pPr>
      <w:r/>
      <w:bookmarkStart w:id="217" w:name="_Toc151193841"/>
      <w:r/>
      <w:bookmarkStart w:id="218" w:name="_Toc305158795"/>
      <w:r/>
      <w:bookmarkStart w:id="219" w:name="_Toc226965717"/>
      <w:r/>
      <w:bookmarkStart w:id="220" w:name="_Toc142311029"/>
      <w:r/>
      <w:bookmarkStart w:id="221" w:name="_Toc164229368"/>
      <w:r/>
      <w:bookmarkStart w:id="222" w:name="_Toc150480765"/>
      <w:r/>
      <w:bookmarkStart w:id="223" w:name="_Toc265228365"/>
      <w:r/>
      <w:bookmarkStart w:id="224" w:name="_Toc164229222"/>
      <w:r/>
      <w:bookmarkStart w:id="225" w:name="_Toc149720820"/>
      <w:r/>
      <w:bookmarkStart w:id="226" w:name="_Toc150774627"/>
      <w:r/>
      <w:bookmarkStart w:id="227" w:name="_Toc151190154"/>
      <w:r/>
      <w:bookmarkStart w:id="228" w:name="_Toc226337223"/>
      <w:r/>
      <w:bookmarkStart w:id="229" w:name="_Toc150774732"/>
      <w:r/>
      <w:bookmarkStart w:id="230" w:name="_Toc151193915"/>
      <w:r/>
      <w:bookmarkStart w:id="231" w:name="_Toc516367021"/>
      <w:r/>
      <w:bookmarkStart w:id="232" w:name="_Toc127151728"/>
      <w:r/>
      <w:bookmarkStart w:id="233" w:name="_Toc127161441"/>
      <w:r/>
      <w:bookmarkStart w:id="234" w:name="_Toc150509278"/>
      <w:r/>
      <w:bookmarkStart w:id="235" w:name="_Toc164351621"/>
      <w:r/>
      <w:bookmarkStart w:id="236" w:name="_Toc151193769"/>
      <w:r/>
      <w:bookmarkStart w:id="237" w:name="_Toc195842892"/>
      <w:r/>
      <w:bookmarkStart w:id="238" w:name="_Toc520356151"/>
      <w:r/>
      <w:bookmarkStart w:id="239" w:name="_Toc305158869"/>
      <w:r/>
      <w:bookmarkStart w:id="240" w:name="_Toc226965800"/>
      <w:r/>
      <w:bookmarkStart w:id="241" w:name="_Toc264969217"/>
      <w:r/>
      <w:bookmarkStart w:id="242" w:name="_Toc226309771"/>
      <w:r/>
      <w:bookmarkStart w:id="243" w:name="_Toc151193625"/>
      <w:r/>
      <w:bookmarkStart w:id="244" w:name="_Toc151193697"/>
      <w:r/>
      <w:bookmarkStart w:id="245" w:name="_Toc164608641"/>
      <w:r/>
      <w:bookmarkStart w:id="246" w:name="_Toc127151527"/>
      <w:r/>
      <w:bookmarkStart w:id="247" w:name="_Toc164608796"/>
      <w:r>
        <w:rPr>
          <w:sz w:val="24"/>
          <w:highlight w:val="none"/>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48" w:name="_Ref467306195"/>
      <w:r/>
      <w:bookmarkStart w:id="249" w:name="_Ref467306676"/>
      <w:r/>
      <w:bookmarkStart w:id="250" w:name="_Toc516367022"/>
      <w:r/>
      <w:bookmarkStart w:id="251" w:name="_Toc151193916"/>
      <w:r/>
      <w:bookmarkStart w:id="252" w:name="_Toc164229369"/>
      <w:r/>
      <w:bookmarkStart w:id="253" w:name="_Toc164608642"/>
      <w:r/>
      <w:bookmarkStart w:id="254" w:name="_Toc150774628"/>
      <w:r/>
      <w:bookmarkStart w:id="255" w:name="_Toc520356152"/>
      <w:r/>
      <w:bookmarkStart w:id="256" w:name="_Toc150774733"/>
      <w:r/>
      <w:bookmarkStart w:id="257" w:name="_Toc226965718"/>
      <w:r/>
      <w:bookmarkStart w:id="258" w:name="_Toc164229223"/>
      <w:r/>
      <w:bookmarkStart w:id="259" w:name="_Toc151193842"/>
      <w:r/>
      <w:bookmarkStart w:id="260" w:name="_Toc305158870"/>
      <w:r/>
      <w:bookmarkStart w:id="261" w:name="_Toc149720821"/>
      <w:r/>
      <w:bookmarkStart w:id="262" w:name="_Toc150480766"/>
      <w:r/>
      <w:bookmarkStart w:id="263" w:name="_Toc226965801"/>
      <w:r/>
      <w:bookmarkStart w:id="264" w:name="_Toc164608797"/>
      <w:r/>
      <w:bookmarkStart w:id="265" w:name="_Toc264969218"/>
      <w:r/>
      <w:bookmarkStart w:id="266" w:name="_Toc142311030"/>
      <w:r/>
      <w:bookmarkStart w:id="267" w:name="_Toc226309772"/>
      <w:r/>
      <w:bookmarkStart w:id="268" w:name="_Toc195842893"/>
      <w:r/>
      <w:bookmarkStart w:id="269" w:name="_Toc305158796"/>
      <w:r/>
      <w:bookmarkStart w:id="270" w:name="_Toc150509279"/>
      <w:r/>
      <w:bookmarkStart w:id="271" w:name="_Toc127151729"/>
      <w:r/>
      <w:bookmarkStart w:id="272" w:name="_Toc151193698"/>
      <w:r/>
      <w:bookmarkStart w:id="273" w:name="_Toc151193770"/>
      <w:r/>
      <w:bookmarkStart w:id="274" w:name="_Toc127161442"/>
      <w:r/>
      <w:bookmarkStart w:id="275" w:name="_Toc226337224"/>
      <w:r/>
      <w:bookmarkStart w:id="276" w:name="_Toc164351622"/>
      <w:r/>
      <w:bookmarkStart w:id="277" w:name="_Toc127151528"/>
      <w:r/>
      <w:bookmarkStart w:id="278" w:name="_Toc151193626"/>
      <w:r/>
      <w:bookmarkStart w:id="279" w:name="_Toc151190155"/>
      <w:r/>
      <w:bookmarkStart w:id="280" w:name="_Toc265228366"/>
      <w:r>
        <w:rPr>
          <w:sz w:val="24"/>
          <w:highlight w:val="none"/>
        </w:rPr>
        <w:t xml:space="preserve">投标文件</w:t>
      </w:r>
      <w:bookmarkEnd w:id="248"/>
      <w:r/>
      <w:bookmarkEnd w:id="249"/>
      <w:r/>
      <w:bookmarkEnd w:id="250"/>
      <w:r>
        <w:rPr>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sz w:val="24"/>
          <w:highlight w:val="none"/>
        </w:rPr>
      </w:pPr>
      <w:r/>
      <w:bookmarkStart w:id="281"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1"/>
      <w:r/>
      <w:r/>
    </w:p>
    <w:p>
      <w:pPr>
        <w:numPr>
          <w:ilvl w:val="0"/>
          <w:numId w:val="8"/>
        </w:numPr>
        <w:ind w:left="357" w:hanging="357"/>
        <w:spacing w:line="360" w:lineRule="auto"/>
        <w:tabs>
          <w:tab w:val="left" w:pos="360" w:leader="none"/>
        </w:tabs>
        <w:rPr>
          <w:sz w:val="24"/>
          <w:highlight w:val="none"/>
        </w:rPr>
        <w:outlineLvl w:val="1"/>
      </w:pPr>
      <w:r/>
      <w:bookmarkStart w:id="282" w:name="_Toc195842895"/>
      <w:r/>
      <w:bookmarkStart w:id="283" w:name="_Toc127151731"/>
      <w:r/>
      <w:bookmarkStart w:id="284" w:name="_Toc151193918"/>
      <w:r/>
      <w:bookmarkStart w:id="285" w:name="_Toc164608799"/>
      <w:r/>
      <w:bookmarkStart w:id="286" w:name="_Toc142311032"/>
      <w:r/>
      <w:bookmarkStart w:id="287" w:name="_Toc151193628"/>
      <w:r/>
      <w:bookmarkStart w:id="288" w:name="_Toc151193700"/>
      <w:r/>
      <w:bookmarkStart w:id="289" w:name="_Toc150480768"/>
      <w:r/>
      <w:bookmarkStart w:id="290" w:name="_Toc164608644"/>
      <w:r/>
      <w:bookmarkStart w:id="291" w:name="_Toc150774735"/>
      <w:r/>
      <w:bookmarkStart w:id="292" w:name="_Toc151190157"/>
      <w:r/>
      <w:bookmarkStart w:id="293" w:name="_Toc150509281"/>
      <w:r/>
      <w:bookmarkStart w:id="294" w:name="_Toc127151530"/>
      <w:r/>
      <w:bookmarkStart w:id="295" w:name="_Toc164351624"/>
      <w:r/>
      <w:bookmarkStart w:id="296" w:name="_Toc150774630"/>
      <w:r/>
      <w:bookmarkStart w:id="297" w:name="_Toc127161444"/>
      <w:r/>
      <w:bookmarkStart w:id="298" w:name="_Toc164229371"/>
      <w:r/>
      <w:bookmarkStart w:id="299" w:name="_Toc151193772"/>
      <w:r/>
      <w:bookmarkStart w:id="300" w:name="_Toc164229225"/>
      <w:r/>
      <w:bookmarkStart w:id="301" w:name="_Toc520356155"/>
      <w:r/>
      <w:bookmarkStart w:id="302" w:name="_Toc151193844"/>
      <w:r/>
      <w:bookmarkStart w:id="303" w:name="_Toc149720823"/>
      <w:r>
        <w:rPr>
          <w:sz w:val="24"/>
          <w:highlight w:val="none"/>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04" w:name="_Toc150480769"/>
      <w:r/>
      <w:bookmarkStart w:id="305" w:name="_Toc149720824"/>
      <w:r/>
      <w:bookmarkStart w:id="306" w:name="_Ref467306513"/>
      <w:r/>
      <w:bookmarkStart w:id="307" w:name="_Toc164229372"/>
      <w:r/>
      <w:bookmarkStart w:id="308" w:name="_Toc305158799"/>
      <w:r/>
      <w:bookmarkStart w:id="309" w:name="_Toc226309775"/>
      <w:r/>
      <w:bookmarkStart w:id="310" w:name="_Toc151193701"/>
      <w:r/>
      <w:bookmarkStart w:id="311" w:name="_Toc226965804"/>
      <w:r/>
      <w:bookmarkStart w:id="312" w:name="_Toc195842896"/>
      <w:r/>
      <w:bookmarkStart w:id="313" w:name="_Toc164608800"/>
      <w:r/>
      <w:bookmarkStart w:id="314" w:name="_Toc264969221"/>
      <w:r/>
      <w:bookmarkStart w:id="315" w:name="_Toc127151732"/>
      <w:r/>
      <w:bookmarkStart w:id="316" w:name="_Toc150774736"/>
      <w:r/>
      <w:bookmarkStart w:id="317" w:name="_Toc151193919"/>
      <w:r/>
      <w:bookmarkStart w:id="318" w:name="_Toc150509282"/>
      <w:r/>
      <w:bookmarkStart w:id="319" w:name="_Toc164229226"/>
      <w:r/>
      <w:bookmarkStart w:id="320" w:name="_Toc151190158"/>
      <w:r/>
      <w:bookmarkStart w:id="321" w:name="_Toc520356156"/>
      <w:r/>
      <w:bookmarkStart w:id="322" w:name="_Toc142311033"/>
      <w:r/>
      <w:bookmarkStart w:id="323" w:name="_Toc151193629"/>
      <w:r/>
      <w:bookmarkStart w:id="324" w:name="_Toc127151531"/>
      <w:r/>
      <w:bookmarkStart w:id="325" w:name="_Toc305158873"/>
      <w:r/>
      <w:bookmarkStart w:id="326" w:name="_Toc151193845"/>
      <w:r/>
      <w:bookmarkStart w:id="327" w:name="_Toc265228369"/>
      <w:r/>
      <w:bookmarkStart w:id="328" w:name="_Toc164351625"/>
      <w:r/>
      <w:bookmarkStart w:id="329" w:name="_Toc151193773"/>
      <w:r/>
      <w:bookmarkStart w:id="330" w:name="_Toc127161445"/>
      <w:r/>
      <w:bookmarkStart w:id="331" w:name="_Toc226337227"/>
      <w:r/>
      <w:bookmarkStart w:id="332" w:name="_Toc164608645"/>
      <w:r/>
      <w:bookmarkStart w:id="333" w:name="_Toc226965721"/>
      <w:r/>
      <w:bookmarkStart w:id="334" w:name="_Toc150774631"/>
      <w:r>
        <w:rPr>
          <w:sz w:val="24"/>
          <w:highlight w:val="none"/>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5" w:name="_Toc151193702"/>
      <w:r/>
      <w:bookmarkStart w:id="336" w:name="_Toc164608646"/>
      <w:r/>
      <w:bookmarkStart w:id="337" w:name="_Toc520356157"/>
      <w:r/>
      <w:bookmarkStart w:id="338" w:name="_Toc265228370"/>
      <w:r/>
      <w:bookmarkStart w:id="339" w:name="_Toc151193630"/>
      <w:r/>
      <w:bookmarkStart w:id="340" w:name="_Toc226965805"/>
      <w:r/>
      <w:bookmarkStart w:id="341" w:name="_Toc127151733"/>
      <w:r/>
      <w:bookmarkStart w:id="342" w:name="_Toc164608801"/>
      <w:r/>
      <w:bookmarkStart w:id="343" w:name="_Toc226965722"/>
      <w:r/>
      <w:bookmarkStart w:id="344" w:name="_Toc195842897"/>
      <w:r/>
      <w:bookmarkStart w:id="345" w:name="_Toc164351626"/>
      <w:r/>
      <w:bookmarkStart w:id="346" w:name="_Toc151190159"/>
      <w:r/>
      <w:bookmarkStart w:id="347" w:name="_Toc150480770"/>
      <w:r/>
      <w:bookmarkStart w:id="348" w:name="_Toc151193920"/>
      <w:r/>
      <w:bookmarkStart w:id="349" w:name="_Toc264969222"/>
      <w:r/>
      <w:bookmarkStart w:id="350" w:name="_Toc226309776"/>
      <w:r/>
      <w:bookmarkStart w:id="351" w:name="_Toc149720825"/>
      <w:r/>
      <w:bookmarkStart w:id="352" w:name="_Toc150509283"/>
      <w:r/>
      <w:bookmarkStart w:id="353" w:name="_Toc127151532"/>
      <w:r/>
      <w:bookmarkStart w:id="354" w:name="_Toc127161446"/>
      <w:r/>
      <w:bookmarkStart w:id="355" w:name="_Toc151193846"/>
      <w:r/>
      <w:bookmarkStart w:id="356" w:name="_Toc164229373"/>
      <w:r/>
      <w:bookmarkStart w:id="357" w:name="_Toc150774737"/>
      <w:r/>
      <w:bookmarkStart w:id="358" w:name="_Toc305158800"/>
      <w:r/>
      <w:bookmarkStart w:id="359" w:name="_Toc142311034"/>
      <w:r/>
      <w:bookmarkStart w:id="360" w:name="_Toc150774632"/>
      <w:r/>
      <w:bookmarkStart w:id="361" w:name="_Toc305158874"/>
      <w:r/>
      <w:bookmarkStart w:id="362" w:name="_Toc151193774"/>
      <w:r/>
      <w:bookmarkStart w:id="363" w:name="_Toc164229227"/>
      <w:r/>
      <w:bookmarkStart w:id="364" w:name="_Toc226337228"/>
      <w:r>
        <w:rPr>
          <w:sz w:val="24"/>
          <w:highlight w:val="none"/>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5" w:name="_Toc151193775"/>
      <w:r/>
      <w:bookmarkStart w:id="366" w:name="_Toc142311035"/>
      <w:r/>
      <w:bookmarkStart w:id="367" w:name="_Toc151193631"/>
      <w:r/>
      <w:bookmarkStart w:id="368" w:name="_Toc127151734"/>
      <w:r/>
      <w:bookmarkStart w:id="369" w:name="_Toc226309777"/>
      <w:r/>
      <w:bookmarkStart w:id="370" w:name="_Toc164608802"/>
      <w:r/>
      <w:bookmarkStart w:id="371" w:name="_Toc164229228"/>
      <w:r/>
      <w:bookmarkStart w:id="372" w:name="_Toc265228371"/>
      <w:r/>
      <w:bookmarkStart w:id="373" w:name="_Toc151193921"/>
      <w:r/>
      <w:bookmarkStart w:id="374" w:name="_Toc226965723"/>
      <w:r/>
      <w:bookmarkStart w:id="375" w:name="_Toc264969223"/>
      <w:r/>
      <w:bookmarkStart w:id="376" w:name="_Toc150480771"/>
      <w:r/>
      <w:bookmarkStart w:id="377" w:name="_Toc151193703"/>
      <w:r/>
      <w:bookmarkStart w:id="378" w:name="_Toc151193847"/>
      <w:r/>
      <w:bookmarkStart w:id="379" w:name="_Toc151190160"/>
      <w:r/>
      <w:bookmarkStart w:id="380" w:name="_Toc150509284"/>
      <w:r/>
      <w:bookmarkStart w:id="381" w:name="_Toc226337229"/>
      <w:r/>
      <w:bookmarkStart w:id="382" w:name="_Toc520356158"/>
      <w:r/>
      <w:bookmarkStart w:id="383" w:name="_Toc305158875"/>
      <w:r/>
      <w:bookmarkStart w:id="384" w:name="_Toc127161447"/>
      <w:r/>
      <w:bookmarkStart w:id="385" w:name="_Toc226965806"/>
      <w:r/>
      <w:bookmarkStart w:id="386" w:name="_Toc164608647"/>
      <w:r/>
      <w:bookmarkStart w:id="387" w:name="_Toc164229374"/>
      <w:r/>
      <w:bookmarkStart w:id="388" w:name="_Toc150774738"/>
      <w:r/>
      <w:bookmarkStart w:id="389" w:name="_Toc127151533"/>
      <w:r/>
      <w:bookmarkStart w:id="390" w:name="_Toc150774633"/>
      <w:r/>
      <w:bookmarkStart w:id="391" w:name="_Toc195842898"/>
      <w:r/>
      <w:bookmarkStart w:id="392" w:name="_Toc305158801"/>
      <w:r/>
      <w:bookmarkStart w:id="393" w:name="_Toc164351627"/>
      <w:r/>
      <w:bookmarkStart w:id="394" w:name="_Toc149720826"/>
      <w:r>
        <w:rPr>
          <w:sz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5" w:name="_Toc150509285"/>
      <w:r/>
      <w:bookmarkStart w:id="396" w:name="_Toc150774739"/>
      <w:r/>
      <w:bookmarkStart w:id="397" w:name="_Toc151193776"/>
      <w:r/>
      <w:bookmarkStart w:id="398" w:name="_Toc151193632"/>
      <w:r/>
      <w:bookmarkStart w:id="399" w:name="_Toc195842899"/>
      <w:r/>
      <w:bookmarkStart w:id="400" w:name="_Toc150480772"/>
      <w:r/>
      <w:bookmarkStart w:id="401" w:name="_Toc142311036"/>
      <w:r/>
      <w:bookmarkStart w:id="402" w:name="_Toc264969224"/>
      <w:r/>
      <w:bookmarkStart w:id="403" w:name="_Toc151190161"/>
      <w:r/>
      <w:bookmarkStart w:id="404" w:name="_Toc226965724"/>
      <w:r/>
      <w:bookmarkStart w:id="405" w:name="_Toc226965807"/>
      <w:r/>
      <w:bookmarkStart w:id="406" w:name="_Toc520356159"/>
      <w:r/>
      <w:bookmarkStart w:id="407" w:name="_Toc305158802"/>
      <w:r/>
      <w:bookmarkStart w:id="408" w:name="_Toc226309778"/>
      <w:r/>
      <w:bookmarkStart w:id="409" w:name="_Toc127151534"/>
      <w:r/>
      <w:bookmarkStart w:id="410" w:name="_Toc305158876"/>
      <w:r/>
      <w:bookmarkStart w:id="411" w:name="_Toc150774634"/>
      <w:r/>
      <w:bookmarkStart w:id="412" w:name="_Toc151193848"/>
      <w:r/>
      <w:bookmarkStart w:id="413" w:name="_Toc151193704"/>
      <w:r/>
      <w:bookmarkStart w:id="414" w:name="_Toc151193922"/>
      <w:r/>
      <w:bookmarkStart w:id="415" w:name="_Toc226337230"/>
      <w:r/>
      <w:bookmarkStart w:id="416" w:name="_Toc265228372"/>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22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s>
        <w:rPr>
          <w:sz w:val="24"/>
          <w:highlight w:val="none"/>
        </w:rPr>
        <w:outlineLvl w:val="1"/>
      </w:pPr>
      <w:r/>
      <w:bookmarkStart w:id="417" w:name="_Toc151193777"/>
      <w:r/>
      <w:bookmarkStart w:id="418" w:name="_Toc127151535"/>
      <w:r/>
      <w:bookmarkStart w:id="419" w:name="_Toc226965808"/>
      <w:r/>
      <w:bookmarkStart w:id="420" w:name="_Toc265228373"/>
      <w:r/>
      <w:bookmarkStart w:id="421" w:name="_Toc164229376"/>
      <w:r/>
      <w:bookmarkStart w:id="422" w:name="_Toc151193705"/>
      <w:r/>
      <w:bookmarkStart w:id="423" w:name="_Toc195842900"/>
      <w:r/>
      <w:bookmarkStart w:id="424" w:name="_Toc142311037"/>
      <w:r/>
      <w:bookmarkStart w:id="425" w:name="_Toc305158803"/>
      <w:r/>
      <w:bookmarkStart w:id="426" w:name="_Toc150480773"/>
      <w:r/>
      <w:bookmarkStart w:id="427" w:name="_Toc151193633"/>
      <w:r/>
      <w:bookmarkStart w:id="428" w:name="_Toc151193923"/>
      <w:r/>
      <w:bookmarkStart w:id="429" w:name="_Toc149720828"/>
      <w:r/>
      <w:bookmarkStart w:id="430" w:name="_Toc164608649"/>
      <w:r/>
      <w:bookmarkStart w:id="431" w:name="_Toc150774635"/>
      <w:r/>
      <w:bookmarkStart w:id="432" w:name="_Toc127151736"/>
      <w:r/>
      <w:bookmarkStart w:id="433" w:name="_Toc226309779"/>
      <w:r/>
      <w:bookmarkStart w:id="434" w:name="_Toc164351629"/>
      <w:r/>
      <w:bookmarkStart w:id="435" w:name="_Toc151193849"/>
      <w:r/>
      <w:bookmarkStart w:id="436" w:name="_Toc305158877"/>
      <w:r/>
      <w:bookmarkStart w:id="437" w:name="_Toc226965725"/>
      <w:r/>
      <w:bookmarkStart w:id="438" w:name="_Toc264969225"/>
      <w:r/>
      <w:bookmarkStart w:id="439" w:name="_Toc164608804"/>
      <w:r/>
      <w:bookmarkStart w:id="440" w:name="_Toc150774740"/>
      <w:r/>
      <w:bookmarkStart w:id="441" w:name="_Toc127161449"/>
      <w:r/>
      <w:bookmarkStart w:id="442" w:name="_Toc164229230"/>
      <w:r/>
      <w:bookmarkStart w:id="443" w:name="_Toc151190162"/>
      <w:r/>
      <w:bookmarkStart w:id="444" w:name="_Toc150509286"/>
      <w:r/>
      <w:bookmarkStart w:id="445" w:name="_Toc226337231"/>
      <w:r/>
      <w:bookmarkStart w:id="446" w:name="_Toc520356160"/>
      <w:r>
        <w:rPr>
          <w:sz w:val="24"/>
          <w:highlight w:val="none"/>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“苏采云”政府采购一体化平台</w:t>
      </w:r>
      <w:r>
        <w:rPr>
          <w:sz w:val="24"/>
          <w:highlight w:val="none"/>
        </w:rPr>
        <w:t xml:space="preserve">。投标人根据招标文件及</w:t>
      </w:r>
      <w:r>
        <w:rPr>
          <w:rFonts w:hint="eastAsia"/>
          <w:sz w:val="24"/>
          <w:highlight w:val="none"/>
          <w:lang w:bidi="ar"/>
        </w:rPr>
        <w:t xml:space="preserve">“苏采云”政府采购一体化平台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47" w:name="_Toc164351630"/>
      <w:r/>
      <w:bookmarkStart w:id="448" w:name="_Toc151190163"/>
      <w:r/>
      <w:bookmarkStart w:id="449" w:name="_Toc164608805"/>
      <w:r/>
      <w:bookmarkStart w:id="450" w:name="_Toc150774636"/>
      <w:r/>
      <w:bookmarkStart w:id="451" w:name="_Toc150480774"/>
      <w:r/>
      <w:bookmarkStart w:id="452" w:name="_Toc305158804"/>
      <w:r/>
      <w:bookmarkStart w:id="453" w:name="_Toc150774741"/>
      <w:r/>
      <w:bookmarkStart w:id="454" w:name="_Toc127151536"/>
      <w:r/>
      <w:bookmarkStart w:id="455" w:name="_Toc520356161"/>
      <w:r/>
      <w:bookmarkStart w:id="456" w:name="_Toc151193778"/>
      <w:r/>
      <w:bookmarkStart w:id="457" w:name="_Toc164229377"/>
      <w:r/>
      <w:bookmarkStart w:id="458" w:name="_Toc151193706"/>
      <w:r/>
      <w:bookmarkStart w:id="459" w:name="_Toc305158878"/>
      <w:r/>
      <w:bookmarkStart w:id="460" w:name="_Toc164608650"/>
      <w:r/>
      <w:bookmarkStart w:id="461" w:name="_Toc226309780"/>
      <w:r/>
      <w:bookmarkStart w:id="462" w:name="_Toc164229231"/>
      <w:r/>
      <w:bookmarkStart w:id="463" w:name="_Toc151193850"/>
      <w:r/>
      <w:bookmarkStart w:id="464" w:name="_Toc151193924"/>
      <w:r/>
      <w:bookmarkStart w:id="465" w:name="_Toc195842901"/>
      <w:r/>
      <w:bookmarkStart w:id="466" w:name="_Toc264969226"/>
      <w:r/>
      <w:bookmarkStart w:id="467" w:name="_Toc142311038"/>
      <w:r/>
      <w:bookmarkStart w:id="468" w:name="_Toc226965726"/>
      <w:r/>
      <w:bookmarkStart w:id="469" w:name="_Toc265228374"/>
      <w:r/>
      <w:bookmarkStart w:id="470" w:name="_Toc151193634"/>
      <w:r/>
      <w:bookmarkStart w:id="471" w:name="_Toc150509287"/>
      <w:r/>
      <w:bookmarkStart w:id="472" w:name="_Toc226337232"/>
      <w:r/>
      <w:bookmarkStart w:id="473" w:name="_Toc127151737"/>
      <w:r/>
      <w:bookmarkStart w:id="474" w:name="_Toc149720829"/>
      <w:r/>
      <w:bookmarkStart w:id="475" w:name="_Toc226965809"/>
      <w:r/>
      <w:bookmarkStart w:id="476" w:name="_Toc127161450"/>
      <w:r>
        <w:rPr>
          <w:sz w:val="24"/>
          <w:highlight w:val="none"/>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77" w:name="_Toc151193925"/>
      <w:r/>
      <w:bookmarkStart w:id="478" w:name="_Toc226965727"/>
      <w:r/>
      <w:bookmarkStart w:id="479" w:name="_Toc151193707"/>
      <w:r/>
      <w:bookmarkStart w:id="480" w:name="_Toc150509288"/>
      <w:r/>
      <w:bookmarkStart w:id="481" w:name="_Toc127161451"/>
      <w:r/>
      <w:bookmarkStart w:id="482" w:name="_Toc150774742"/>
      <w:r/>
      <w:bookmarkStart w:id="483" w:name="_Toc164229232"/>
      <w:r/>
      <w:bookmarkStart w:id="484" w:name="_Toc226309781"/>
      <w:r/>
      <w:bookmarkStart w:id="485" w:name="_Toc164351631"/>
      <w:r/>
      <w:bookmarkStart w:id="486" w:name="_Toc149720830"/>
      <w:r/>
      <w:bookmarkStart w:id="487" w:name="_Toc164608651"/>
      <w:r/>
      <w:bookmarkStart w:id="488" w:name="_Toc151190164"/>
      <w:r/>
      <w:bookmarkStart w:id="489" w:name="_Toc127151537"/>
      <w:r/>
      <w:bookmarkStart w:id="490" w:name="_Toc305158805"/>
      <w:r/>
      <w:bookmarkStart w:id="491" w:name="_Toc305158879"/>
      <w:r/>
      <w:bookmarkStart w:id="492" w:name="_Toc127151738"/>
      <w:r/>
      <w:bookmarkStart w:id="493" w:name="_Toc150480775"/>
      <w:r/>
      <w:bookmarkStart w:id="494" w:name="_Toc142311039"/>
      <w:r/>
      <w:bookmarkStart w:id="495" w:name="_Toc264969227"/>
      <w:r/>
      <w:bookmarkStart w:id="496" w:name="_Toc520356162"/>
      <w:r/>
      <w:bookmarkStart w:id="497" w:name="_Toc195842902"/>
      <w:r/>
      <w:bookmarkStart w:id="498" w:name="_Toc164608806"/>
      <w:r/>
      <w:bookmarkStart w:id="499" w:name="_Toc151193635"/>
      <w:r/>
      <w:bookmarkStart w:id="500" w:name="_Toc226337233"/>
      <w:r/>
      <w:bookmarkStart w:id="501" w:name="_Toc150774637"/>
      <w:r/>
      <w:bookmarkStart w:id="502" w:name="_Toc164229378"/>
      <w:r/>
      <w:bookmarkStart w:id="503" w:name="_Toc151193779"/>
      <w:r/>
      <w:bookmarkStart w:id="504" w:name="_Toc265228375"/>
      <w:r/>
      <w:bookmarkStart w:id="505" w:name="_Toc226965810"/>
      <w:r/>
      <w:bookmarkStart w:id="506" w:name="_Toc151193851"/>
      <w:r>
        <w:rPr>
          <w:sz w:val="24"/>
          <w:highlight w:val="none"/>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rPr>
        <w:t xml:space="preserve">“苏采云”政府采购一体化平台</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223"/>
        <w:spacing w:before="0" w:line="360" w:lineRule="auto"/>
        <w:rPr>
          <w:rFonts w:ascii="Times New Roman" w:hAnsi="Times New Roman" w:eastAsia="宋体"/>
          <w:sz w:val="28"/>
          <w:highlight w:val="none"/>
        </w:rPr>
      </w:pPr>
      <w:r/>
      <w:bookmarkStart w:id="507" w:name="_Toc151193780"/>
      <w:r/>
      <w:bookmarkStart w:id="508" w:name="_Toc127151538"/>
      <w:r/>
      <w:bookmarkStart w:id="509" w:name="_Toc150774743"/>
      <w:r/>
      <w:bookmarkStart w:id="510" w:name="_Toc305158880"/>
      <w:r/>
      <w:bookmarkStart w:id="511" w:name="_Toc151193636"/>
      <w:r/>
      <w:bookmarkStart w:id="512" w:name="_Toc264969228"/>
      <w:r/>
      <w:bookmarkStart w:id="513" w:name="_Toc151193708"/>
      <w:r/>
      <w:bookmarkStart w:id="514" w:name="_Toc226337234"/>
      <w:r/>
      <w:bookmarkStart w:id="515" w:name="_Toc150509289"/>
      <w:r/>
      <w:bookmarkStart w:id="516" w:name="_Toc305158806"/>
      <w:r/>
      <w:bookmarkStart w:id="517" w:name="_Toc226965811"/>
      <w:r/>
      <w:bookmarkStart w:id="518" w:name="_Toc265228376"/>
      <w:r/>
      <w:bookmarkStart w:id="519" w:name="_Toc150774638"/>
      <w:r/>
      <w:bookmarkStart w:id="520" w:name="_Toc195842903"/>
      <w:r/>
      <w:bookmarkStart w:id="521" w:name="_Toc142311040"/>
      <w:r/>
      <w:bookmarkStart w:id="522" w:name="_Toc150480776"/>
      <w:r/>
      <w:bookmarkStart w:id="523" w:name="_Toc520356163"/>
      <w:r/>
      <w:bookmarkStart w:id="524" w:name="_Toc151193926"/>
      <w:r/>
      <w:bookmarkStart w:id="525" w:name="_Toc151190165"/>
      <w:r/>
      <w:bookmarkStart w:id="526" w:name="_Toc151193852"/>
      <w:r/>
      <w:bookmarkStart w:id="527" w:name="_Toc226309782"/>
      <w:r/>
      <w:bookmarkStart w:id="528" w:name="_Toc226965728"/>
      <w:r>
        <w:rPr>
          <w:rFonts w:ascii="Times New Roman" w:hAnsi="Times New Roman" w:eastAsia="宋体"/>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s>
        <w:rPr>
          <w:sz w:val="24"/>
          <w:highlight w:val="none"/>
        </w:rPr>
        <w:outlineLvl w:val="1"/>
      </w:pPr>
      <w:r/>
      <w:bookmarkStart w:id="529" w:name="_Toc226309783"/>
      <w:r/>
      <w:bookmarkStart w:id="530" w:name="_Toc265228377"/>
      <w:r/>
      <w:bookmarkStart w:id="531" w:name="_Toc151193637"/>
      <w:r/>
      <w:bookmarkStart w:id="532" w:name="_Toc226965729"/>
      <w:r/>
      <w:bookmarkStart w:id="533" w:name="_Toc305158807"/>
      <w:r/>
      <w:bookmarkStart w:id="534" w:name="_Toc164229234"/>
      <w:r/>
      <w:bookmarkStart w:id="535" w:name="_Toc164351633"/>
      <w:r/>
      <w:bookmarkStart w:id="536" w:name="_Toc151190166"/>
      <w:r/>
      <w:bookmarkStart w:id="537" w:name="_Toc164608808"/>
      <w:r/>
      <w:bookmarkStart w:id="538" w:name="_Toc164229380"/>
      <w:r/>
      <w:bookmarkStart w:id="539" w:name="_Toc150774639"/>
      <w:r/>
      <w:bookmarkStart w:id="540" w:name="_Toc226965812"/>
      <w:r/>
      <w:bookmarkStart w:id="541" w:name="_Toc151193709"/>
      <w:r/>
      <w:bookmarkStart w:id="542" w:name="_Toc305158881"/>
      <w:r/>
      <w:bookmarkStart w:id="543" w:name="_Toc226337235"/>
      <w:r/>
      <w:bookmarkStart w:id="544" w:name="_Toc149720832"/>
      <w:r/>
      <w:bookmarkStart w:id="545" w:name="_Toc150774744"/>
      <w:r/>
      <w:bookmarkStart w:id="546" w:name="_Toc142311041"/>
      <w:r/>
      <w:bookmarkStart w:id="547" w:name="_Toc264969229"/>
      <w:r/>
      <w:bookmarkStart w:id="548" w:name="_Toc127161453"/>
      <w:r/>
      <w:bookmarkStart w:id="549" w:name="_Toc195842904"/>
      <w:r/>
      <w:bookmarkStart w:id="550" w:name="_Toc151193853"/>
      <w:r/>
      <w:bookmarkStart w:id="551" w:name="_Toc127151740"/>
      <w:r/>
      <w:bookmarkStart w:id="552" w:name="_Toc164608653"/>
      <w:r/>
      <w:bookmarkStart w:id="553" w:name="_Toc151193927"/>
      <w:r/>
      <w:bookmarkStart w:id="554" w:name="_Toc520356164"/>
      <w:r/>
      <w:bookmarkStart w:id="555" w:name="_Toc150509290"/>
      <w:r/>
      <w:bookmarkStart w:id="556" w:name="_Toc127151539"/>
      <w:r/>
      <w:bookmarkStart w:id="557" w:name="_Toc150480777"/>
      <w:r/>
      <w:bookmarkStart w:id="558" w:name="_Toc151193781"/>
      <w:r>
        <w:rPr>
          <w:sz w:val="24"/>
          <w:highlight w:val="none"/>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rPr>
        <w:t xml:space="preserve">“苏采云”政府采购一体化平台在线进行开标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rPr>
        <w:t xml:space="preserve">“苏采云”政府采购一体化平台公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59"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59"/>
      <w:r/>
      <w:r/>
    </w:p>
    <w:p>
      <w:pPr>
        <w:numPr>
          <w:ilvl w:val="0"/>
          <w:numId w:val="8"/>
        </w:numPr>
        <w:ind w:left="357" w:hanging="357"/>
        <w:spacing w:line="360" w:lineRule="auto"/>
        <w:tabs>
          <w:tab w:val="left" w:pos="360" w:leader="none"/>
        </w:tabs>
        <w:rPr>
          <w:sz w:val="24"/>
          <w:highlight w:val="none"/>
        </w:rPr>
        <w:outlineLvl w:val="1"/>
      </w:pPr>
      <w:r/>
      <w:bookmarkStart w:id="560" w:name="_Toc150774640"/>
      <w:r/>
      <w:bookmarkStart w:id="561" w:name="_Toc150509291"/>
      <w:r/>
      <w:bookmarkStart w:id="562" w:name="_Toc226309784"/>
      <w:r/>
      <w:bookmarkStart w:id="563" w:name="_Toc127151540"/>
      <w:r/>
      <w:bookmarkStart w:id="564" w:name="_Toc142311042"/>
      <w:r/>
      <w:bookmarkStart w:id="565" w:name="_Toc226965730"/>
      <w:r/>
      <w:bookmarkStart w:id="566" w:name="_Toc264969230"/>
      <w:r/>
      <w:bookmarkStart w:id="567" w:name="_Toc151193854"/>
      <w:r/>
      <w:bookmarkStart w:id="568" w:name="_Toc151193782"/>
      <w:r/>
      <w:bookmarkStart w:id="569" w:name="_Toc151190167"/>
      <w:r/>
      <w:bookmarkStart w:id="570" w:name="_Toc164229381"/>
      <w:r/>
      <w:bookmarkStart w:id="571" w:name="_Toc226337236"/>
      <w:r/>
      <w:bookmarkStart w:id="572" w:name="_Toc127161454"/>
      <w:r/>
      <w:bookmarkStart w:id="573" w:name="_Toc265228378"/>
      <w:r/>
      <w:bookmarkStart w:id="574" w:name="_Toc164608654"/>
      <w:r/>
      <w:bookmarkStart w:id="575" w:name="_Toc149720833"/>
      <w:r/>
      <w:bookmarkStart w:id="576" w:name="_Toc164608809"/>
      <w:r/>
      <w:bookmarkStart w:id="577" w:name="_Toc151193928"/>
      <w:r/>
      <w:bookmarkStart w:id="578" w:name="_Toc150774745"/>
      <w:r/>
      <w:bookmarkStart w:id="579" w:name="_Toc164229235"/>
      <w:r/>
      <w:bookmarkStart w:id="580" w:name="_Toc226965813"/>
      <w:r/>
      <w:bookmarkStart w:id="581" w:name="_Toc127151741"/>
      <w:r/>
      <w:bookmarkStart w:id="582" w:name="_Toc151193710"/>
      <w:r/>
      <w:bookmarkStart w:id="583" w:name="_Toc151193638"/>
      <w:r/>
      <w:bookmarkStart w:id="584" w:name="_Toc164351634"/>
      <w:r/>
      <w:bookmarkStart w:id="585" w:name="_Toc305158882"/>
      <w:r/>
      <w:bookmarkStart w:id="586" w:name="_Toc305158808"/>
      <w:r/>
      <w:bookmarkStart w:id="587" w:name="_Toc195842905"/>
      <w:r/>
      <w:bookmarkStart w:id="588" w:name="_Toc150480778"/>
      <w:r>
        <w:rPr>
          <w:sz w:val="24"/>
          <w:highlight w:val="none"/>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223"/>
        <w:spacing w:before="0" w:line="360" w:lineRule="auto"/>
        <w:rPr>
          <w:rFonts w:ascii="Times New Roman" w:hAnsi="Times New Roman" w:eastAsia="宋体"/>
          <w:sz w:val="28"/>
          <w:highlight w:val="none"/>
        </w:rPr>
      </w:pPr>
      <w:r/>
      <w:bookmarkStart w:id="591" w:name="_Toc127151545"/>
      <w:r/>
      <w:bookmarkStart w:id="592" w:name="_Toc265228383"/>
      <w:r/>
      <w:bookmarkStart w:id="593" w:name="_Toc226309789"/>
      <w:r/>
      <w:bookmarkStart w:id="594" w:name="_Toc150774645"/>
      <w:r/>
      <w:bookmarkStart w:id="595" w:name="_Toc151190172"/>
      <w:r/>
      <w:bookmarkStart w:id="596" w:name="_Toc226965818"/>
      <w:r/>
      <w:bookmarkStart w:id="597" w:name="_Toc151193643"/>
      <w:r/>
      <w:bookmarkStart w:id="598" w:name="_Toc151193715"/>
      <w:r/>
      <w:bookmarkStart w:id="599" w:name="_Toc150509296"/>
      <w:r/>
      <w:bookmarkStart w:id="600" w:name="_Toc151193933"/>
      <w:r/>
      <w:bookmarkStart w:id="601" w:name="_Toc305158887"/>
      <w:r/>
      <w:bookmarkStart w:id="602" w:name="_Toc195842910"/>
      <w:r/>
      <w:bookmarkStart w:id="603" w:name="_Toc150480783"/>
      <w:r/>
      <w:bookmarkStart w:id="604" w:name="_Toc226337241"/>
      <w:r/>
      <w:bookmarkStart w:id="605" w:name="_Toc142311047"/>
      <w:r/>
      <w:bookmarkStart w:id="606" w:name="_Toc151193787"/>
      <w:r/>
      <w:bookmarkStart w:id="607" w:name="_Toc151193859"/>
      <w:r/>
      <w:bookmarkStart w:id="608" w:name="_Toc226965735"/>
      <w:r/>
      <w:bookmarkStart w:id="609" w:name="_Toc305158813"/>
      <w:r/>
      <w:bookmarkStart w:id="610" w:name="_Toc150774750"/>
      <w:r/>
      <w:bookmarkStart w:id="611" w:name="_Toc264969235"/>
      <w:r>
        <w:rPr>
          <w:rFonts w:ascii="Times New Roman" w:hAnsi="Times New Roman" w:eastAsia="宋体"/>
          <w:sz w:val="28"/>
          <w:highlight w:val="none"/>
        </w:rPr>
        <w:t xml:space="preserve">六   </w:t>
      </w:r>
      <w:bookmarkEnd w:id="590"/>
      <w:r>
        <w:rPr>
          <w:rFonts w:ascii="Times New Roman" w:hAnsi="Times New Roman" w:eastAsia="宋体"/>
          <w:sz w:val="28"/>
          <w:highlight w:val="none"/>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50509298"/>
      <w:r/>
      <w:bookmarkStart w:id="613" w:name="_Toc127151748"/>
      <w:r/>
      <w:bookmarkStart w:id="614" w:name="_Toc195842912"/>
      <w:r/>
      <w:bookmarkStart w:id="615" w:name="_Toc127151547"/>
      <w:r/>
      <w:bookmarkStart w:id="616" w:name="_Toc226965737"/>
      <w:r/>
      <w:bookmarkStart w:id="617" w:name="_Toc226337243"/>
      <w:r/>
      <w:bookmarkStart w:id="618" w:name="_Toc150774752"/>
      <w:r/>
      <w:bookmarkStart w:id="619" w:name="_Toc150480785"/>
      <w:r/>
      <w:bookmarkStart w:id="620" w:name="_Toc265228385"/>
      <w:r/>
      <w:bookmarkStart w:id="621" w:name="_Toc226965820"/>
      <w:r/>
      <w:bookmarkStart w:id="622" w:name="_Toc151193861"/>
      <w:r/>
      <w:bookmarkStart w:id="623" w:name="_Toc164229242"/>
      <w:r/>
      <w:bookmarkStart w:id="624" w:name="_Toc164608816"/>
      <w:r/>
      <w:bookmarkStart w:id="625" w:name="_Toc164608661"/>
      <w:r/>
      <w:bookmarkStart w:id="626" w:name="_Toc151193645"/>
      <w:r/>
      <w:bookmarkStart w:id="627" w:name="_Toc151190174"/>
      <w:r/>
      <w:bookmarkStart w:id="628" w:name="_Toc142311049"/>
      <w:r/>
      <w:bookmarkStart w:id="629" w:name="_Toc305158889"/>
      <w:r/>
      <w:bookmarkStart w:id="630" w:name="_Toc151193789"/>
      <w:r/>
      <w:bookmarkStart w:id="631" w:name="_Toc150774647"/>
      <w:r/>
      <w:bookmarkStart w:id="632" w:name="_Toc305158815"/>
      <w:r/>
      <w:bookmarkStart w:id="633" w:name="_Toc164229388"/>
      <w:r/>
      <w:bookmarkStart w:id="634" w:name="_Toc264969237"/>
      <w:r/>
      <w:bookmarkStart w:id="635" w:name="_Toc151193717"/>
      <w:r/>
      <w:bookmarkStart w:id="636" w:name="_Toc164351641"/>
      <w:r/>
      <w:bookmarkStart w:id="637" w:name="_Toc127161461"/>
      <w:r/>
      <w:bookmarkStart w:id="638" w:name="_Toc149720840"/>
      <w:r/>
      <w:bookmarkStart w:id="639" w:name="_Toc151193935"/>
      <w:r/>
      <w:bookmarkStart w:id="640" w:name="_Toc226309791"/>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1" w:name="_Toc305158817"/>
      <w:r/>
      <w:bookmarkStart w:id="642" w:name="_Toc305158891"/>
      <w:r/>
      <w:bookmarkStart w:id="643" w:name="_Toc127161463"/>
      <w:r/>
      <w:bookmarkStart w:id="644" w:name="_Toc226309793"/>
      <w:r/>
      <w:bookmarkStart w:id="645" w:name="_Toc150774649"/>
      <w:r/>
      <w:bookmarkStart w:id="646" w:name="_Toc127151750"/>
      <w:r/>
      <w:bookmarkStart w:id="647" w:name="_Toc127151549"/>
      <w:r/>
      <w:bookmarkStart w:id="648" w:name="_Toc164608663"/>
      <w:r/>
      <w:bookmarkStart w:id="649" w:name="_Toc195842914"/>
      <w:r/>
      <w:bookmarkStart w:id="650" w:name="_Toc151193719"/>
      <w:r/>
      <w:bookmarkStart w:id="651" w:name="_Toc226965822"/>
      <w:r/>
      <w:bookmarkStart w:id="652" w:name="_Toc150774754"/>
      <w:r/>
      <w:bookmarkStart w:id="653" w:name="_Toc151190176"/>
      <w:r/>
      <w:bookmarkStart w:id="654" w:name="_Toc150509300"/>
      <w:r/>
      <w:bookmarkStart w:id="655" w:name="_Toc164351643"/>
      <w:r/>
      <w:bookmarkStart w:id="656" w:name="_Toc226965739"/>
      <w:r/>
      <w:bookmarkStart w:id="657" w:name="_Toc151193937"/>
      <w:r/>
      <w:bookmarkStart w:id="658" w:name="_Toc265228387"/>
      <w:r/>
      <w:bookmarkStart w:id="659" w:name="_Toc151193791"/>
      <w:r/>
      <w:bookmarkStart w:id="660" w:name="_Toc226337245"/>
      <w:r/>
      <w:bookmarkStart w:id="661" w:name="_Toc150480787"/>
      <w:r/>
      <w:bookmarkStart w:id="662" w:name="_Toc264969239"/>
      <w:r/>
      <w:bookmarkStart w:id="663" w:name="_Toc151193863"/>
      <w:r/>
      <w:bookmarkStart w:id="664" w:name="_Toc151193647"/>
      <w:r/>
      <w:bookmarkStart w:id="665" w:name="_Toc149720842"/>
      <w:r/>
      <w:bookmarkStart w:id="666" w:name="_Toc164608818"/>
      <w:r/>
      <w:bookmarkStart w:id="667" w:name="_Toc164229390"/>
      <w:r/>
      <w:bookmarkStart w:id="668" w:name="_Toc142311051"/>
      <w:r/>
      <w:bookmarkStart w:id="669" w:name="_Toc164229244"/>
      <w:r/>
      <w:bookmarkStart w:id="670" w:name="_Ref467307090"/>
      <w:r/>
      <w:bookmarkStart w:id="671" w:name="_Ref467306425"/>
      <w:r/>
      <w:bookmarkStart w:id="672" w:name="_Toc520356176"/>
      <w:r>
        <w:rPr>
          <w:sz w:val="24"/>
          <w:highlight w:val="none"/>
        </w:rPr>
        <w:t xml:space="preserve">中标公告与中标通知书</w:t>
      </w:r>
      <w:bookmarkEnd w:id="641"/>
      <w:r/>
      <w:bookmarkEnd w:id="642"/>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8"/>
        </w:numPr>
        <w:ind w:left="357" w:hanging="357"/>
        <w:spacing w:line="360" w:lineRule="auto"/>
        <w:tabs>
          <w:tab w:val="left" w:pos="360" w:leader="none"/>
        </w:tabs>
        <w:rPr>
          <w:sz w:val="24"/>
          <w:highlight w:val="none"/>
        </w:rPr>
        <w:outlineLvl w:val="1"/>
      </w:pPr>
      <w:r/>
      <w:bookmarkStart w:id="673" w:name="_Toc151193720"/>
      <w:r/>
      <w:bookmarkStart w:id="674" w:name="_Toc520356175"/>
      <w:r/>
      <w:bookmarkStart w:id="675" w:name="_Toc164229391"/>
      <w:r/>
      <w:bookmarkStart w:id="676" w:name="_Toc264969240"/>
      <w:r/>
      <w:bookmarkStart w:id="677" w:name="_Toc151190177"/>
      <w:r/>
      <w:bookmarkStart w:id="678" w:name="_Toc226309794"/>
      <w:r/>
      <w:bookmarkStart w:id="679" w:name="_Toc265228388"/>
      <w:r/>
      <w:bookmarkStart w:id="680" w:name="_Toc150509301"/>
      <w:r/>
      <w:bookmarkStart w:id="681" w:name="_Toc226965740"/>
      <w:r/>
      <w:bookmarkStart w:id="682" w:name="_Toc127161464"/>
      <w:r/>
      <w:bookmarkStart w:id="683" w:name="_Ref467306377"/>
      <w:r/>
      <w:bookmarkStart w:id="684" w:name="_Toc226965823"/>
      <w:r/>
      <w:bookmarkStart w:id="685" w:name="_Toc127151550"/>
      <w:r/>
      <w:bookmarkStart w:id="686" w:name="_Toc164608819"/>
      <w:r/>
      <w:bookmarkStart w:id="687" w:name="_Toc164229245"/>
      <w:r/>
      <w:bookmarkStart w:id="688" w:name="_Ref467307204"/>
      <w:r/>
      <w:bookmarkStart w:id="689" w:name="_Toc151193792"/>
      <w:r/>
      <w:bookmarkStart w:id="690" w:name="_Toc305158892"/>
      <w:r/>
      <w:bookmarkStart w:id="691" w:name="_Toc305158818"/>
      <w:r/>
      <w:bookmarkStart w:id="692" w:name="_Toc150774755"/>
      <w:r/>
      <w:bookmarkStart w:id="693" w:name="_Toc164608664"/>
      <w:r/>
      <w:bookmarkStart w:id="694" w:name="_Toc127151751"/>
      <w:r/>
      <w:bookmarkStart w:id="695" w:name="_Toc151193938"/>
      <w:r/>
      <w:bookmarkStart w:id="696" w:name="_Toc142311052"/>
      <w:r/>
      <w:bookmarkStart w:id="697" w:name="_Toc195842915"/>
      <w:r/>
      <w:bookmarkStart w:id="698" w:name="_Toc226337246"/>
      <w:r/>
      <w:bookmarkStart w:id="699" w:name="_Toc151193648"/>
      <w:r/>
      <w:bookmarkStart w:id="700" w:name="_Toc164351644"/>
      <w:r/>
      <w:bookmarkStart w:id="701" w:name="_Toc149720843"/>
      <w:r/>
      <w:bookmarkStart w:id="702" w:name="_Toc150774650"/>
      <w:r/>
      <w:bookmarkStart w:id="703" w:name="_Toc150480788"/>
      <w:r/>
      <w:bookmarkStart w:id="704" w:name="_Ref467306978"/>
      <w:r/>
      <w:bookmarkStart w:id="705" w:name="_Ref467307062"/>
      <w:r/>
      <w:bookmarkStart w:id="706" w:name="_Toc151193864"/>
      <w:r>
        <w:rPr>
          <w:sz w:val="24"/>
          <w:highlight w:val="none"/>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0"/>
      <w:r/>
      <w:bookmarkEnd w:id="671"/>
      <w:r/>
      <w:bookmarkEnd w:id="672"/>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297"/>
          <w:highlight w:val="none"/>
        </w:rPr>
        <w:t xml:space="preserve">http://gk</w:t>
      </w:r>
      <w:bookmarkStart w:id="707" w:name="_Hlt100654014"/>
      <w:r>
        <w:rPr>
          <w:rStyle w:val="1297"/>
          <w:highlight w:val="none"/>
        </w:rPr>
        <w:t xml:space="preserve">s</w:t>
      </w:r>
      <w:bookmarkEnd w:id="707"/>
      <w:r>
        <w:rPr>
          <w:rStyle w:val="1297"/>
          <w:highlight w:val="none"/>
        </w:rPr>
        <w:t xml:space="preserve">.m</w:t>
      </w:r>
      <w:bookmarkStart w:id="708" w:name="_Hlt100653993"/>
      <w:r/>
      <w:bookmarkStart w:id="709" w:name="_Hlt100653994"/>
      <w:r>
        <w:rPr>
          <w:rStyle w:val="1297"/>
          <w:highlight w:val="none"/>
        </w:rPr>
        <w:t xml:space="preserve">o</w:t>
      </w:r>
      <w:bookmarkEnd w:id="708"/>
      <w:r/>
      <w:bookmarkEnd w:id="709"/>
      <w:r>
        <w:rPr>
          <w:rStyle w:val="1297"/>
          <w:highlight w:val="none"/>
        </w:rPr>
        <w:t xml:space="preserve">f.gov.cn/ztztz/zhengfucaigouguanli/201802/t20180201_2804589.htm</w:t>
      </w:r>
      <w:r>
        <w:rPr>
          <w:rStyle w:val="1297"/>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详见前附表</w:t>
      </w:r>
      <w:r/>
    </w:p>
    <w:p>
      <w:pPr>
        <w:jc w:val="center"/>
        <w:spacing w:line="360" w:lineRule="auto"/>
        <w:rPr>
          <w:b/>
          <w:sz w:val="36"/>
          <w:szCs w:val="36"/>
          <w:highlight w:val="none"/>
        </w:rPr>
        <w:sectPr>
          <w:headerReference w:type="even" r:id="rId11"/>
          <w:headerReference w:type="first" r:id="rId12"/>
          <w:footerReference w:type="even" r:id="rId21"/>
          <w:footerReference w:type="first" r:id="rId2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150774759"/>
      <w:r/>
      <w:bookmarkStart w:id="711" w:name="_Toc353825544"/>
      <w:r/>
      <w:bookmarkStart w:id="712" w:name="_Toc226337250"/>
      <w:r/>
      <w:bookmarkStart w:id="713" w:name="_Toc226965827"/>
      <w:r/>
      <w:bookmarkStart w:id="714" w:name="_Toc127151554"/>
      <w:r/>
      <w:bookmarkStart w:id="715" w:name="_Toc265228392"/>
      <w:r/>
      <w:bookmarkStart w:id="716" w:name="_Toc305158822"/>
      <w:r/>
      <w:bookmarkStart w:id="717" w:name="_Toc353873664"/>
      <w:r/>
      <w:bookmarkStart w:id="718" w:name="_Toc142311056"/>
      <w:r/>
      <w:bookmarkStart w:id="719" w:name="_Toc264969244"/>
      <w:r/>
      <w:bookmarkStart w:id="720" w:name="_Toc305158896"/>
      <w:r/>
      <w:bookmarkStart w:id="721" w:name="_Toc150480792"/>
      <w:r/>
      <w:bookmarkStart w:id="722" w:name="_Toc353873934"/>
      <w:r/>
      <w:bookmarkStart w:id="723" w:name="_Toc99301421"/>
      <w:r/>
      <w:r/>
    </w:p>
    <w:p>
      <w:pPr>
        <w:jc w:val="center"/>
        <w:spacing w:line="360" w:lineRule="auto"/>
        <w:rPr>
          <w:b/>
          <w:sz w:val="36"/>
          <w:szCs w:val="36"/>
          <w:highlight w:val="none"/>
        </w:rPr>
        <w:outlineLvl w:val="0"/>
      </w:pPr>
      <w:r>
        <w:rPr>
          <w:b/>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highlight w:val="none"/>
        </w:rPr>
        <w:t xml:space="preserve">资格审查</w:t>
      </w:r>
      <w:bookmarkEnd w:id="723"/>
      <w:r/>
      <w:bookmarkStart w:id="724" w:name="_Toc487900382"/>
      <w:r/>
      <w:r/>
    </w:p>
    <w:p>
      <w:pPr>
        <w:jc w:val="center"/>
        <w:spacing w:line="360" w:lineRule="auto"/>
        <w:tabs>
          <w:tab w:val="left" w:pos="360" w:leader="none"/>
          <w:tab w:val="left" w:pos="900" w:leader="none"/>
        </w:tabs>
        <w:rPr>
          <w:b/>
          <w:sz w:val="24"/>
          <w:highlight w:val="none"/>
        </w:rPr>
        <w:outlineLvl w:val="1"/>
      </w:pPr>
      <w:r/>
      <w:bookmarkStart w:id="725" w:name="_Toc99301422"/>
      <w:r>
        <w:rPr>
          <w:b/>
          <w:sz w:val="24"/>
          <w:highlight w:val="none"/>
        </w:rPr>
        <w:t xml:space="preserve">一、资格审查程序</w:t>
      </w:r>
      <w:bookmarkEnd w:id="725"/>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104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jc w:val="center"/>
              <w:tabs>
                <w:tab w:val="left" w:pos="1080" w:leader="none"/>
              </w:tabs>
              <w:rPr>
                <w:b/>
                <w:sz w:val="24"/>
                <w:highlight w:val="none"/>
              </w:rPr>
            </w:pPr>
            <w:r/>
            <w:bookmarkStart w:id="726" w:name="_Hlt487972895"/>
            <w:r/>
            <w:bookmarkEnd w:id="726"/>
            <w:r>
              <w:rPr>
                <w:b/>
                <w:sz w:val="24"/>
                <w:highlight w:val="none"/>
              </w:rPr>
              <w:t xml:space="preserve">序号</w:t>
            </w: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7" w:type="dxa"/>
            <w:vAlign w:val="center"/>
            <w:textDirection w:val="lrTb"/>
            <w:noWrap w:val="false"/>
          </w:tcPr>
          <w:p>
            <w:pPr>
              <w:jc w:val="cente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7"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7"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color w:val="000000"/>
                <w:sz w:val="24"/>
                <w:highlight w:val="none"/>
              </w:rPr>
              <w:t xml:space="preserve">如有，见</w:t>
            </w:r>
            <w:r>
              <w:rPr>
                <w:sz w:val="24"/>
                <w:highlight w:val="none"/>
              </w:rPr>
              <w:t xml:space="preserve">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left"/>
        <w:widowControl/>
        <w:rPr>
          <w:sz w:val="24"/>
          <w:highlight w:val="none"/>
        </w:rPr>
      </w:pPr>
      <w:r/>
      <w:bookmarkStart w:id="727" w:name="_Toc127151779"/>
      <w:r/>
      <w:bookmarkStart w:id="728" w:name="_Toc353825550"/>
      <w:r/>
      <w:bookmarkStart w:id="729" w:name="_Toc353873940"/>
      <w:r/>
      <w:bookmarkStart w:id="730" w:name="_Toc127161490"/>
      <w:r/>
      <w:bookmarkStart w:id="731" w:name="_Toc226965858"/>
      <w:r>
        <w:rPr>
          <w:sz w:val="24"/>
          <w:highlight w:val="none"/>
        </w:rPr>
        <w:br w:type="page" w:clear="all"/>
      </w:r>
      <w:r/>
    </w:p>
    <w:p>
      <w:pPr>
        <w:jc w:val="center"/>
        <w:spacing w:line="360" w:lineRule="auto"/>
        <w:rPr>
          <w:b/>
          <w:sz w:val="36"/>
          <w:szCs w:val="36"/>
          <w:highlight w:val="none"/>
        </w:rPr>
        <w:outlineLvl w:val="0"/>
      </w:pPr>
      <w:r/>
      <w:bookmarkStart w:id="732" w:name="_Toc99301423"/>
      <w:r>
        <w:rPr>
          <w:b/>
          <w:sz w:val="36"/>
          <w:szCs w:val="36"/>
          <w:highlight w:val="none"/>
        </w:rPr>
        <w:t xml:space="preserve">第四章   </w:t>
      </w:r>
      <w:bookmarkEnd w:id="727"/>
      <w:r/>
      <w:bookmarkEnd w:id="728"/>
      <w:r/>
      <w:bookmarkEnd w:id="729"/>
      <w:r/>
      <w:bookmarkEnd w:id="730"/>
      <w:r/>
      <w:bookmarkEnd w:id="731"/>
      <w:r/>
      <w:bookmarkStart w:id="733" w:name="_Hlt164229061"/>
      <w:r/>
      <w:bookmarkEnd w:id="733"/>
      <w:r>
        <w:rPr>
          <w:b/>
          <w:sz w:val="36"/>
          <w:szCs w:val="36"/>
          <w:highlight w:val="none"/>
        </w:rPr>
        <w:t xml:space="preserve">评标程序、评标方法和评标标准</w:t>
      </w:r>
      <w:bookmarkEnd w:id="732"/>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34" w:name="_Toc164229382"/>
      <w:r/>
      <w:bookmarkStart w:id="735" w:name="_Toc151193711"/>
      <w:r/>
      <w:bookmarkStart w:id="736" w:name="_Toc150774746"/>
      <w:r/>
      <w:bookmarkStart w:id="737" w:name="_Toc164229236"/>
      <w:r/>
      <w:bookmarkStart w:id="738" w:name="_Toc127151742"/>
      <w:r/>
      <w:bookmarkStart w:id="739" w:name="_Toc150774641"/>
      <w:r/>
      <w:bookmarkStart w:id="740" w:name="_Toc150509292"/>
      <w:r/>
      <w:bookmarkStart w:id="741" w:name="_Toc226965731"/>
      <w:r/>
      <w:bookmarkStart w:id="742" w:name="_Toc164351635"/>
      <w:r/>
      <w:bookmarkStart w:id="743" w:name="_Toc226309785"/>
      <w:r/>
      <w:bookmarkStart w:id="744" w:name="_Toc151193855"/>
      <w:r/>
      <w:bookmarkStart w:id="745" w:name="_Toc127161455"/>
      <w:r/>
      <w:bookmarkStart w:id="746" w:name="_Toc305158809"/>
      <w:r/>
      <w:bookmarkStart w:id="747" w:name="_Toc164608810"/>
      <w:r/>
      <w:bookmarkStart w:id="748" w:name="_Toc151193639"/>
      <w:r/>
      <w:bookmarkStart w:id="749" w:name="_Toc151193929"/>
      <w:r/>
      <w:bookmarkStart w:id="750" w:name="_Toc265228379"/>
      <w:r/>
      <w:bookmarkStart w:id="751" w:name="_Toc226337237"/>
      <w:r/>
      <w:bookmarkStart w:id="752" w:name="_Toc149720834"/>
      <w:r/>
      <w:bookmarkStart w:id="753" w:name="_Toc226965814"/>
      <w:r/>
      <w:bookmarkStart w:id="754" w:name="_Toc305158883"/>
      <w:r/>
      <w:bookmarkStart w:id="755" w:name="_Toc195842906"/>
      <w:r/>
      <w:bookmarkStart w:id="756" w:name="_Toc264969231"/>
      <w:r/>
      <w:bookmarkStart w:id="757" w:name="_Toc142311043"/>
      <w:r/>
      <w:bookmarkStart w:id="758" w:name="_Toc151190168"/>
      <w:r/>
      <w:bookmarkStart w:id="759" w:name="_Toc151193783"/>
      <w:r/>
      <w:bookmarkStart w:id="760" w:name="_Toc150480779"/>
      <w:r/>
      <w:bookmarkStart w:id="761" w:name="_Toc164608655"/>
      <w:r/>
      <w:bookmarkStart w:id="762" w:name="_Toc127151541"/>
      <w:r/>
      <w:bookmarkStart w:id="763" w:name="_Toc353873941"/>
      <w:r/>
      <w:bookmarkStart w:id="764" w:name="_Toc353825551"/>
      <w:r/>
      <w:bookmarkStart w:id="765" w:name="_Toc264969245"/>
      <w:r/>
      <w:bookmarkStart w:id="766" w:name="_Toc150480793"/>
      <w:r/>
      <w:bookmarkStart w:id="767" w:name="_Toc265228393"/>
      <w:r/>
      <w:bookmarkStart w:id="768" w:name="_Toc226965828"/>
      <w:r/>
      <w:bookmarkStart w:id="769" w:name="_Toc226337251"/>
      <w:r/>
      <w:bookmarkStart w:id="770" w:name="_Toc195842920"/>
      <w:r/>
      <w:bookmarkStart w:id="771" w:name="_Toc353873935"/>
      <w:r/>
      <w:bookmarkStart w:id="772" w:name="_Toc150774760"/>
      <w:r/>
      <w:bookmarkStart w:id="773" w:name="_Toc353825545"/>
      <w:r/>
      <w:bookmarkStart w:id="774" w:name="_Toc127151555"/>
      <w:r/>
      <w:bookmarkStart w:id="775" w:name="_Toc142311057"/>
      <w:r/>
      <w:bookmarkStart w:id="776" w:name="_Toc353873665"/>
      <w:r/>
      <w:bookmarkStart w:id="777" w:name="_Toc305158897"/>
      <w:r/>
      <w:bookmarkStart w:id="778" w:name="_Toc305158823"/>
      <w:r>
        <w:rPr>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9"/>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10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6"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3"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3"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399"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6"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3"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976"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t xml:space="preserve">(如有)</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3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4</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399" w:type="dxa"/>
            <w:vAlign w:val="center"/>
            <w:textDirection w:val="lrTb"/>
            <w:noWrap w:val="false"/>
          </w:tcPr>
          <w:p>
            <w:pPr>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5</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399"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16</w:t>
            </w:r>
            <w:r/>
          </w:p>
        </w:tc>
        <w:tc>
          <w:tcPr>
            <w:tcW w:w="976"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3"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spacing w:line="360" w:lineRule="auto"/>
        <w:tabs>
          <w:tab w:val="left" w:pos="360" w:leader="none"/>
        </w:tabs>
        <w:rPr>
          <w:sz w:val="24"/>
          <w:highlight w:val="none"/>
        </w:rPr>
        <w:outlineLvl w:val="1"/>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sz w:val="24"/>
          <w:highlight w:val="none"/>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ascii="Wingdings 2" w:hAnsi="Wingdings 2" w:eastAsia="Wingdings 2" w:cs="Wingdings 2"/>
          <w:sz w:val="24"/>
          <w:highlight w:val="none"/>
        </w:rPr>
        <w:t xml:space="preserve">R</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w:t>
      </w:r>
      <w:r>
        <w:rPr>
          <w:rFonts w:hint="eastAsia"/>
          <w:sz w:val="24"/>
          <w:highlight w:val="none"/>
        </w:rPr>
        <w:t xml:space="preserve">/</w:t>
      </w:r>
      <w:r>
        <w:rPr>
          <w:sz w:val="24"/>
          <w:highlight w:val="none"/>
        </w:rPr>
        <w:t xml:space="preserve">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w:t>
      </w:r>
      <w:r>
        <w:rPr>
          <w:rFonts w:hint="eastAsia"/>
          <w:sz w:val="24"/>
          <w:highlight w:val="none"/>
        </w:rPr>
        <w:t xml:space="preserve">/</w:t>
      </w:r>
      <w:r>
        <w:rPr>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w:t>
      </w:r>
      <w:r>
        <w:rPr>
          <w:rFonts w:hint="eastAsia"/>
          <w:sz w:val="24"/>
          <w:highlight w:val="none"/>
        </w:rPr>
        <w:t xml:space="preserve">/</w:t>
      </w:r>
      <w:r>
        <w:rPr>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评标委员会应针对投标文件进行政府采购异常低价审查：</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（一）评审过程中出现下列情形之一的，评审委员会应当启动异常低价投标审查程序： </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3.投标（响应）报价低于采购项目最高限价45%的，即投标（响应）报价&lt;采购项目最高限价×45%；</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4.评审委员会基于专业判断，认为供应商报价过低，有可能影响产品质量或者不能诚信履约的其他情形。</w:t>
      </w:r>
      <w:r/>
    </w:p>
    <w:p>
      <w:pPr>
        <w:ind w:left="11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采购人可以结合具体项目实际情况，提高上述第1项至第3项中启动异常低价投标（响应）审查的数值标准，但是最高不得超过65%。</w:t>
      </w:r>
      <w:r/>
    </w:p>
    <w:p>
      <w:pPr>
        <w:ind w:left="11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相关法律法规对供应商报价有规定的，从其规定。</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0" w:name="_Toc150509297"/>
      <w:r/>
      <w:bookmarkStart w:id="781" w:name="_Toc226965819"/>
      <w:r/>
      <w:bookmarkStart w:id="782" w:name="_Toc164229241"/>
      <w:r/>
      <w:bookmarkStart w:id="783" w:name="_Toc305158888"/>
      <w:r/>
      <w:bookmarkStart w:id="784" w:name="_Toc150480784"/>
      <w:r/>
      <w:bookmarkStart w:id="785" w:name="_Toc127161460"/>
      <w:r/>
      <w:bookmarkStart w:id="786" w:name="_Toc226309790"/>
      <w:r/>
      <w:bookmarkStart w:id="787" w:name="_Toc150774751"/>
      <w:r/>
      <w:bookmarkStart w:id="788" w:name="_Toc151193788"/>
      <w:r/>
      <w:bookmarkStart w:id="789" w:name="_Toc520356170"/>
      <w:r/>
      <w:bookmarkStart w:id="790" w:name="_Toc164351640"/>
      <w:r/>
      <w:bookmarkStart w:id="791" w:name="_Toc264969236"/>
      <w:r/>
      <w:bookmarkStart w:id="792" w:name="_Toc164608815"/>
      <w:r/>
      <w:bookmarkStart w:id="793" w:name="_Toc142311048"/>
      <w:r/>
      <w:bookmarkStart w:id="794" w:name="_Toc164229387"/>
      <w:r/>
      <w:bookmarkStart w:id="795" w:name="_Toc127151747"/>
      <w:r/>
      <w:bookmarkStart w:id="796" w:name="_Toc265228384"/>
      <w:r/>
      <w:bookmarkStart w:id="797" w:name="_Toc150774646"/>
      <w:r/>
      <w:bookmarkStart w:id="798" w:name="_Toc195842911"/>
      <w:r/>
      <w:bookmarkStart w:id="799" w:name="_Toc151193644"/>
      <w:r/>
      <w:bookmarkStart w:id="800" w:name="_Toc151190173"/>
      <w:r/>
      <w:bookmarkStart w:id="801" w:name="_Toc127151546"/>
      <w:r/>
      <w:bookmarkStart w:id="802" w:name="_Toc226965736"/>
      <w:r/>
      <w:bookmarkStart w:id="803" w:name="_Toc164608660"/>
      <w:r/>
      <w:bookmarkStart w:id="804" w:name="_Toc151193716"/>
      <w:r/>
      <w:bookmarkStart w:id="805" w:name="_Toc305158814"/>
      <w:r/>
      <w:bookmarkStart w:id="806" w:name="_Toc149720839"/>
      <w:r/>
      <w:bookmarkStart w:id="807" w:name="_Toc151193934"/>
      <w:r/>
      <w:bookmarkStart w:id="808" w:name="_Toc226337242"/>
      <w:r/>
      <w:bookmarkStart w:id="809" w:name="_Toc151193860"/>
      <w:r/>
      <w:bookmarkStart w:id="810" w:name="_Ref467307010"/>
      <w:r>
        <w:rPr>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60"/>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Times New Roman" w:hAnsi="Times New Roman"/>
          <w:sz w:val="24"/>
          <w:szCs w:val="24"/>
          <w:highlight w:val="none"/>
        </w:rPr>
        <w:t xml:space="preserve">☑随机抽取</w:t>
      </w:r>
      <w:r/>
    </w:p>
    <w:p>
      <w:pPr>
        <w:pStyle w:val="1260"/>
        <w:ind w:left="993" w:firstLine="136"/>
        <w:spacing w:line="360" w:lineRule="auto"/>
        <w:tabs>
          <w:tab w:val="left" w:pos="900" w:leader="none"/>
          <w:tab w:val="left" w:pos="2127" w:leader="none"/>
        </w:tabs>
        <w:rPr>
          <w:rFonts w:hint="default" w:ascii="Times New Roman" w:hAnsi="Times New Roman"/>
          <w:sz w:val="24"/>
          <w:szCs w:val="24"/>
          <w:highlight w:val="none"/>
        </w:rPr>
      </w:pPr>
      <w:r>
        <w:rPr>
          <w:rFonts w:ascii="Times New Roman" w:hAnsi="Times New Roman"/>
          <w:sz w:val="24"/>
          <w:szCs w:val="24"/>
          <w:highlight w:val="none"/>
        </w:rPr>
        <w:t xml:space="preserve">□其他方式，具体要求：__/___</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w:t>
      </w:r>
      <w:r>
        <w:rPr>
          <w:rFonts w:hint="eastAsia"/>
          <w:sz w:val="24"/>
          <w:highlight w:val="none"/>
        </w:rPr>
        <w:t xml:space="preserve">得分且最终报价相同的，按照技术指标优劣顺序推荐。技术指标得分也相同的，由采购人（评审组长）现场随机抽取</w:t>
      </w:r>
      <w:r>
        <w:rPr>
          <w:sz w:val="24"/>
          <w:highlight w:val="none"/>
        </w:rPr>
        <w:t xml:space="preserve">。投标文件满足招标文件全部实质性要求，且按照评审因素的量化指标评审得分最高的投标人为排名第一的中标候选人。评分分值计算保留小数点后两位，第三位四舍五入。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b/>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sz w:val="24"/>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1"/>
      </w:pPr>
      <w:r>
        <w:rPr>
          <w:b/>
          <w:sz w:val="24"/>
          <w:highlight w:val="none"/>
        </w:rPr>
      </w:r>
      <w:r/>
    </w:p>
    <w:p>
      <w:pPr>
        <w:jc w:val="center"/>
        <w:spacing w:line="360" w:lineRule="auto"/>
        <w:tabs>
          <w:tab w:val="left" w:pos="360" w:leader="none"/>
          <w:tab w:val="left" w:pos="900" w:leader="none"/>
        </w:tabs>
        <w:rPr>
          <w:sz w:val="24"/>
          <w:highlight w:val="none"/>
        </w:rPr>
        <w:outlineLvl w:val="1"/>
      </w:pPr>
      <w:r>
        <w:rPr>
          <w:b/>
          <w:sz w:val="24"/>
          <w:highlight w:val="none"/>
        </w:rPr>
        <w:t xml:space="preserve">二、评标标准</w:t>
      </w:r>
      <w:r/>
    </w:p>
    <w:tbl>
      <w:tblPr>
        <w:tblStyle w:val="1043"/>
        <w:tblW w:w="10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3"/>
        <w:gridCol w:w="1119"/>
        <w:gridCol w:w="690"/>
        <w:gridCol w:w="5835"/>
        <w:gridCol w:w="2652"/>
      </w:tblGrid>
      <w:tr>
        <w:trPr>
          <w:jc w:val="center"/>
        </w:trPr>
        <w:tc>
          <w:tcPr>
            <w:tcW w:w="613"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1119"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评审因素</w:t>
            </w:r>
            <w:r/>
          </w:p>
        </w:tc>
        <w:tc>
          <w:tcPr>
            <w:tcW w:w="690"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分值</w:t>
            </w:r>
            <w:r/>
          </w:p>
        </w:tc>
        <w:tc>
          <w:tcPr>
            <w:tcW w:w="5835" w:type="dxa"/>
            <w:vAlign w:val="center"/>
            <w:textDirection w:val="lrTb"/>
            <w:noWrap w:val="false"/>
          </w:tcPr>
          <w:p>
            <w:pPr>
              <w:ind w:firstLine="420"/>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评分标准</w:t>
            </w:r>
            <w:r/>
          </w:p>
        </w:tc>
        <w:tc>
          <w:tcPr>
            <w:tcW w:w="2652"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说明</w:t>
            </w:r>
            <w:r/>
          </w:p>
        </w:tc>
      </w:tr>
      <w:tr>
        <w:trPr>
          <w:jc w:val="center"/>
        </w:trPr>
        <w:tc>
          <w:tcPr>
            <w:tcW w:w="613"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1</w:t>
            </w:r>
            <w:r/>
          </w:p>
        </w:tc>
        <w:tc>
          <w:tcPr>
            <w:tcW w:w="1119"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价格分</w:t>
            </w:r>
            <w:r/>
          </w:p>
        </w:tc>
        <w:tc>
          <w:tcPr>
            <w:tcW w:w="690" w:type="dxa"/>
            <w:vAlign w:val="center"/>
            <w:textDirection w:val="lrTb"/>
            <w:noWrap w:val="false"/>
          </w:tcPr>
          <w:p>
            <w:pPr>
              <w:jc w:val="center"/>
              <w:spacing w:line="300" w:lineRule="exact"/>
              <w:rPr>
                <w:rFonts w:hint="eastAsia" w:ascii="宋体" w:hAnsi="宋体" w:eastAsia="宋体" w:cs="宋体"/>
                <w:b/>
                <w:bCs/>
                <w:sz w:val="24"/>
                <w:highlight w:val="none"/>
                <w:lang w:eastAsia="zh-CN"/>
              </w:rPr>
            </w:pPr>
            <w:r>
              <w:rPr>
                <w:rFonts w:hint="eastAsia" w:ascii="宋体" w:hAnsi="宋体" w:cs="宋体"/>
                <w:b/>
                <w:bCs/>
                <w:sz w:val="24"/>
                <w:highlight w:val="none"/>
              </w:rPr>
              <w:t xml:space="preserve">21</w:t>
            </w:r>
            <w:r/>
          </w:p>
        </w:tc>
        <w:tc>
          <w:tcPr>
            <w:tcW w:w="5835" w:type="dxa"/>
            <w:vAlign w:val="center"/>
            <w:textDirection w:val="lrTb"/>
            <w:noWrap w:val="false"/>
          </w:tcPr>
          <w:p>
            <w:pPr>
              <w:ind w:firstLine="420"/>
              <w:spacing w:line="300" w:lineRule="exact"/>
              <w:rPr>
                <w:rFonts w:hint="eastAsia" w:ascii="宋体" w:hAnsi="宋体" w:cs="宋体"/>
                <w:b/>
                <w:bCs/>
                <w:sz w:val="24"/>
                <w:highlight w:val="none"/>
              </w:rPr>
            </w:pPr>
            <w:r>
              <w:rPr>
                <w:rFonts w:hint="eastAsia" w:ascii="宋体" w:hAnsi="宋体" w:cs="宋体"/>
                <w:b/>
                <w:bCs/>
                <w:sz w:val="24"/>
                <w:highlight w:val="none"/>
              </w:rPr>
            </w:r>
            <w:r/>
          </w:p>
        </w:tc>
        <w:tc>
          <w:tcPr>
            <w:tcW w:w="2652" w:type="dxa"/>
            <w:vAlign w:val="center"/>
            <w:textDirection w:val="lrTb"/>
            <w:noWrap w:val="false"/>
          </w:tcPr>
          <w:p>
            <w:pPr>
              <w:spacing w:line="300" w:lineRule="exact"/>
              <w:rPr>
                <w:rFonts w:hint="eastAsia" w:ascii="宋体" w:hAnsi="宋体" w:cs="宋体"/>
                <w:b/>
                <w:bCs/>
                <w:sz w:val="24"/>
                <w:highlight w:val="none"/>
              </w:rPr>
            </w:pPr>
            <w:r>
              <w:rPr>
                <w:rFonts w:hint="eastAsia" w:ascii="宋体" w:hAnsi="宋体" w:cs="宋体"/>
                <w:b/>
                <w:bCs/>
                <w:sz w:val="24"/>
                <w:highlight w:val="none"/>
              </w:rPr>
            </w:r>
            <w:r/>
          </w:p>
        </w:tc>
      </w:tr>
      <w:tr>
        <w:trPr>
          <w:jc w:val="center"/>
          <w:trHeight w:val="1070"/>
        </w:trPr>
        <w:tc>
          <w:tcPr>
            <w:tcW w:w="613" w:type="dxa"/>
            <w:vAlign w:val="center"/>
            <w:textDirection w:val="lrTb"/>
            <w:noWrap w:val="false"/>
          </w:tcPr>
          <w:p>
            <w:pPr>
              <w:jc w:val="center"/>
              <w:spacing w:line="300" w:lineRule="exact"/>
              <w:rPr>
                <w:rFonts w:hint="eastAsia" w:ascii="宋体" w:hAnsi="宋体" w:cs="宋体"/>
                <w:bCs/>
                <w:sz w:val="24"/>
                <w:highlight w:val="none"/>
              </w:rPr>
            </w:pPr>
            <w:r>
              <w:rPr>
                <w:rFonts w:hint="eastAsia" w:ascii="宋体" w:hAnsi="宋体" w:cs="宋体"/>
                <w:bCs/>
                <w:sz w:val="24"/>
                <w:highlight w:val="none"/>
              </w:rPr>
              <w:t xml:space="preserve">1.1</w:t>
            </w:r>
            <w:r/>
          </w:p>
        </w:tc>
        <w:tc>
          <w:tcPr>
            <w:tcW w:w="1119" w:type="dxa"/>
            <w:vAlign w:val="center"/>
            <w:textDirection w:val="lrTb"/>
            <w:noWrap w:val="false"/>
          </w:tcPr>
          <w:p>
            <w:pPr>
              <w:jc w:val="center"/>
              <w:spacing w:line="300" w:lineRule="exact"/>
              <w:rPr>
                <w:rFonts w:hint="eastAsia" w:ascii="宋体" w:hAnsi="宋体" w:cs="宋体"/>
                <w:bCs/>
                <w:sz w:val="24"/>
                <w:highlight w:val="none"/>
              </w:rPr>
            </w:pPr>
            <w:r>
              <w:rPr>
                <w:rFonts w:hint="eastAsia" w:ascii="宋体" w:hAnsi="宋体" w:cs="宋体"/>
                <w:bCs/>
                <w:sz w:val="24"/>
                <w:highlight w:val="none"/>
              </w:rPr>
              <w:t xml:space="preserve">价格分</w:t>
            </w:r>
            <w:r/>
          </w:p>
        </w:tc>
        <w:tc>
          <w:tcPr>
            <w:tcW w:w="690" w:type="dxa"/>
            <w:vAlign w:val="center"/>
            <w:textDirection w:val="lrTb"/>
            <w:noWrap w:val="false"/>
          </w:tcPr>
          <w:p>
            <w:pPr>
              <w:jc w:val="center"/>
              <w:spacing w:line="300" w:lineRule="exact"/>
              <w:rPr>
                <w:rFonts w:hint="eastAsia" w:ascii="宋体" w:hAnsi="宋体" w:eastAsia="宋体" w:cs="宋体"/>
                <w:bCs/>
                <w:sz w:val="24"/>
                <w:highlight w:val="none"/>
                <w:lang w:eastAsia="zh-CN"/>
              </w:rPr>
            </w:pPr>
            <w:r>
              <w:rPr>
                <w:rFonts w:hint="eastAsia" w:ascii="宋体" w:hAnsi="宋体" w:cs="宋体"/>
                <w:bCs/>
                <w:sz w:val="24"/>
                <w:highlight w:val="none"/>
              </w:rPr>
              <w:t xml:space="preserve">21</w:t>
            </w:r>
            <w:r/>
          </w:p>
        </w:tc>
        <w:tc>
          <w:tcPr>
            <w:tcW w:w="5835" w:type="dxa"/>
            <w:vAlign w:val="center"/>
            <w:textDirection w:val="lrTb"/>
            <w:noWrap w:val="false"/>
          </w:tcPr>
          <w:p>
            <w:pPr>
              <w:spacing w:line="300" w:lineRule="exact"/>
              <w:rPr>
                <w:rFonts w:hint="eastAsia" w:ascii="宋体" w:hAnsi="宋体" w:cs="宋体"/>
                <w:sz w:val="24"/>
                <w:highlight w:val="none"/>
              </w:rPr>
            </w:pPr>
            <w:r>
              <w:rPr>
                <w:rFonts w:hint="eastAsia" w:ascii="宋体" w:hAnsi="宋体" w:cs="宋体"/>
                <w:sz w:val="24"/>
                <w:highlight w:val="none"/>
              </w:rPr>
              <w:t xml:space="preserve">采用低价优先法计算，即满足招标文件要求且投标价格最低的投标报价为投标基准价，其价格分为满分。其他供应商的价格分统一按照下列公式计算（小数点保留两位）：</w:t>
            </w:r>
            <w:r/>
          </w:p>
          <w:p>
            <w:pPr>
              <w:spacing w:line="300" w:lineRule="exact"/>
              <w:rPr>
                <w:rFonts w:hint="eastAsia" w:ascii="宋体" w:hAnsi="宋体" w:cs="宋体"/>
                <w:bCs/>
                <w:sz w:val="24"/>
                <w:highlight w:val="none"/>
              </w:rPr>
            </w:pPr>
            <w:r>
              <w:rPr>
                <w:rFonts w:hint="eastAsia" w:ascii="宋体" w:hAnsi="宋体" w:cs="宋体"/>
                <w:sz w:val="24"/>
                <w:highlight w:val="none"/>
              </w:rPr>
              <w:t xml:space="preserve">投标报价得分=(投标基准价／投标报价)</w:t>
            </w:r>
            <w:r>
              <w:rPr>
                <w:rFonts w:hint="eastAsia" w:ascii="宋体" w:hAnsi="宋体" w:cs="宋体"/>
                <w:color w:val="000000"/>
                <w:sz w:val="24"/>
                <w:highlight w:val="none"/>
              </w:rPr>
              <w:t xml:space="preserve">×分值</w:t>
            </w:r>
            <w:r>
              <w:rPr>
                <w:rFonts w:hint="eastAsia" w:ascii="宋体" w:hAnsi="宋体" w:cs="宋体"/>
                <w:sz w:val="24"/>
                <w:highlight w:val="none"/>
              </w:rPr>
              <w:t xml:space="preserve">。</w:t>
            </w:r>
            <w:r/>
          </w:p>
        </w:tc>
        <w:tc>
          <w:tcPr>
            <w:tcW w:w="2652" w:type="dxa"/>
            <w:vAlign w:val="center"/>
            <w:textDirection w:val="lrTb"/>
            <w:noWrap w:val="false"/>
          </w:tcPr>
          <w:p>
            <w:pPr>
              <w:spacing w:line="300" w:lineRule="exact"/>
              <w:rPr>
                <w:rFonts w:hint="eastAsia" w:ascii="宋体" w:hAnsi="宋体" w:cs="宋体"/>
                <w:b/>
                <w:bCs/>
                <w:sz w:val="24"/>
                <w:highlight w:val="none"/>
              </w:rPr>
            </w:pPr>
            <w:r>
              <w:rPr>
                <w:rFonts w:hint="eastAsia" w:ascii="宋体" w:hAnsi="宋体" w:cs="宋体"/>
                <w:bCs/>
                <w:sz w:val="24"/>
                <w:highlight w:val="none"/>
              </w:rPr>
              <w:t xml:space="preserve">此处投标报价指经过报价修正，及因落实政府采购政策进行价格调整后的报价，详见第四章《评标方法和评标标准》2.4及2.5。</w:t>
            </w:r>
            <w:r/>
          </w:p>
        </w:tc>
      </w:tr>
      <w:tr>
        <w:trPr>
          <w:jc w:val="center"/>
        </w:trPr>
        <w:tc>
          <w:tcPr>
            <w:tcW w:w="613" w:type="dxa"/>
            <w:vAlign w:val="center"/>
            <w:textDirection w:val="lrTb"/>
            <w:noWrap w:val="false"/>
          </w:tcPr>
          <w:p>
            <w:pPr>
              <w:jc w:val="cente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t xml:space="preserve">2</w:t>
            </w:r>
            <w:r/>
          </w:p>
        </w:tc>
        <w:tc>
          <w:tcPr>
            <w:tcW w:w="1119" w:type="dxa"/>
            <w:vAlign w:val="center"/>
            <w:textDirection w:val="lrTb"/>
            <w:noWrap w:val="false"/>
          </w:tcPr>
          <w:p>
            <w:pPr>
              <w:jc w:val="center"/>
              <w:spacing w:line="300" w:lineRule="exact"/>
              <w:tabs>
                <w:tab w:val="left" w:pos="577" w:leader="none"/>
              </w:tabs>
              <w:rPr>
                <w:rFonts w:hint="eastAsia" w:ascii="宋体" w:hAnsi="宋体" w:cs="宋体"/>
                <w:b/>
                <w:bCs/>
                <w:spacing w:val="-3"/>
                <w:sz w:val="24"/>
                <w:highlight w:val="none"/>
              </w:rPr>
            </w:pPr>
            <w:r>
              <w:rPr>
                <w:rFonts w:hint="eastAsia" w:ascii="宋体" w:hAnsi="宋体" w:cs="宋体"/>
                <w:b/>
                <w:bCs/>
                <w:spacing w:val="-3"/>
                <w:sz w:val="24"/>
                <w:highlight w:val="none"/>
              </w:rPr>
              <w:t xml:space="preserve">主观分</w:t>
            </w:r>
            <w:r/>
          </w:p>
        </w:tc>
        <w:tc>
          <w:tcPr>
            <w:tcW w:w="690" w:type="dxa"/>
            <w:vAlign w:val="center"/>
            <w:textDirection w:val="lrTb"/>
            <w:noWrap w:val="false"/>
          </w:tcPr>
          <w:p>
            <w:pPr>
              <w:jc w:val="cente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t xml:space="preserve">40</w:t>
            </w:r>
            <w:r/>
          </w:p>
        </w:tc>
        <w:tc>
          <w:tcPr>
            <w:tcW w:w="5835" w:type="dxa"/>
            <w:vAlign w:val="center"/>
            <w:textDirection w:val="lrTb"/>
            <w:noWrap w:val="false"/>
          </w:tcPr>
          <w:p>
            <w:pP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r>
            <w:r/>
          </w:p>
        </w:tc>
        <w:tc>
          <w:tcPr>
            <w:tcW w:w="2652" w:type="dxa"/>
            <w:vAlign w:val="center"/>
            <w:textDirection w:val="lrTb"/>
            <w:noWrap w:val="false"/>
          </w:tcPr>
          <w:p>
            <w:pPr>
              <w:spacing w:line="300" w:lineRule="exact"/>
              <w:rPr>
                <w:rFonts w:hint="eastAsia" w:ascii="宋体" w:hAnsi="宋体" w:cs="宋体"/>
                <w:b/>
                <w:bCs/>
                <w:spacing w:val="-3"/>
                <w:sz w:val="24"/>
                <w:highlight w:val="none"/>
              </w:rPr>
            </w:pPr>
            <w:r>
              <w:rPr>
                <w:rFonts w:hint="eastAsia" w:ascii="宋体" w:hAnsi="宋体" w:cs="宋体"/>
                <w:b/>
                <w:bCs/>
                <w:spacing w:val="-3"/>
                <w:sz w:val="24"/>
                <w:highlight w:val="none"/>
              </w:rPr>
            </w:r>
            <w:r/>
          </w:p>
        </w:tc>
      </w:tr>
      <w:tr>
        <w:trPr>
          <w:cantSplit/>
          <w:jc w:val="center"/>
          <w:trHeight w:val="1101"/>
        </w:trPr>
        <w:tc>
          <w:tcPr>
            <w:tcW w:w="613" w:type="dxa"/>
            <w:vAlign w:val="center"/>
            <w:textDirection w:val="lrTb"/>
            <w:noWrap w:val="false"/>
          </w:tcPr>
          <w:p>
            <w:pPr>
              <w:jc w:val="center"/>
              <w:spacing w:line="300" w:lineRule="exact"/>
              <w:rPr>
                <w:rFonts w:hint="eastAsia" w:ascii="宋体" w:hAnsi="宋体" w:cs="宋体"/>
                <w:sz w:val="24"/>
                <w:highlight w:val="none"/>
              </w:rPr>
            </w:pPr>
            <w:r>
              <w:rPr>
                <w:rFonts w:hint="eastAsia" w:ascii="宋体" w:hAnsi="宋体" w:cs="宋体"/>
                <w:sz w:val="24"/>
                <w:highlight w:val="none"/>
              </w:rPr>
              <w:t xml:space="preserve">2.1</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spacing w:val="-3"/>
                <w:sz w:val="24"/>
                <w:highlight w:val="none"/>
              </w:rPr>
              <w:t xml:space="preserve">项目总体方案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（一）评分内容：</w:t>
            </w:r>
            <w:r/>
          </w:p>
          <w:p>
            <w:p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考察投标人对项目的总体设计方案，包含但不限于以下内容：</w:t>
            </w:r>
            <w:r/>
          </w:p>
          <w:p>
            <w:pPr>
              <w:numPr>
                <w:ilvl w:val="0"/>
                <w:numId w:val="13"/>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数据库操作系统升级</w:t>
            </w:r>
            <w:r/>
          </w:p>
          <w:p>
            <w:pPr>
              <w:numPr>
                <w:ilvl w:val="0"/>
                <w:numId w:val="13"/>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数据库读写分离</w:t>
            </w:r>
            <w:r/>
          </w:p>
          <w:p>
            <w:pPr>
              <w:numPr>
                <w:ilvl w:val="0"/>
                <w:numId w:val="13"/>
              </w:numPr>
              <w:ind w:left="0" w:firstLine="0"/>
              <w:spacing w:line="240" w:lineRule="auto"/>
              <w:widowControl/>
              <w:rPr>
                <w:rFonts w:hint="default" w:eastAsia="宋体"/>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数据库架构负载均衡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模式</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cantSplit/>
          <w:jc w:val="center"/>
          <w:trHeight w:val="1101"/>
        </w:trPr>
        <w:tc>
          <w:tcPr>
            <w:tcW w:w="613" w:type="dxa"/>
            <w:vAlign w:val="center"/>
            <w:textDirection w:val="lrTb"/>
            <w:noWrap w:val="false"/>
          </w:tcPr>
          <w:p>
            <w:pPr>
              <w:jc w:val="center"/>
              <w:spacing w:line="300" w:lineRule="exact"/>
              <w:rPr>
                <w:rFonts w:hint="eastAsia" w:ascii="宋体" w:hAnsi="宋体" w:cs="宋体"/>
                <w:sz w:val="24"/>
                <w:highlight w:val="none"/>
              </w:rPr>
            </w:pPr>
            <w:r>
              <w:rPr>
                <w:rFonts w:hint="eastAsia" w:ascii="宋体" w:hAnsi="宋体" w:cs="宋体"/>
                <w:sz w:val="24"/>
                <w:highlight w:val="none"/>
              </w:rPr>
              <w:t xml:space="preserve">2.2</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color w:val="000000" w:themeColor="text1"/>
                <w:sz w:val="24"/>
                <w:highlight w:val="none"/>
                <w:lang w:val="en-US" w:eastAsia="zh-CN"/>
                <w14:textFill>
                  <w14:solidFill>
                    <w14:schemeClr w14:val="tx1"/>
                  </w14:solidFill>
                </w14:textFill>
              </w:rPr>
              <w:t xml:space="preserve">数据迁移切换</w:t>
            </w:r>
            <w:r>
              <w:rPr>
                <w:rFonts w:hint="eastAsia" w:ascii="宋体" w:hAnsi="宋体" w:cs="宋体"/>
                <w:color w:val="000000" w:themeColor="text1"/>
                <w:sz w:val="24"/>
                <w:highlight w:val="none"/>
                <w14:textFill>
                  <w14:solidFill>
                    <w14:schemeClr w14:val="tx1"/>
                  </w14:solidFill>
                </w14:textFill>
              </w:rPr>
              <w:t xml:space="preserve">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numPr>
                <w:ilvl w:val="0"/>
                <w:numId w:val="14"/>
              </w:numPr>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评分内容：</w:t>
            </w:r>
            <w:r/>
          </w:p>
          <w:p>
            <w:pPr>
              <w:numPr>
                <w:ilvl w:val="0"/>
                <w:numId w:val="0"/>
              </w:num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数据迁移切换方案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，包含但不限于以下内容：</w:t>
            </w:r>
            <w:r/>
          </w:p>
          <w:p>
            <w:pPr>
              <w:numPr>
                <w:ilvl w:val="0"/>
                <w:numId w:val="15"/>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迁移测试</w:t>
            </w:r>
            <w:r/>
          </w:p>
          <w:p>
            <w:pPr>
              <w:numPr>
                <w:ilvl w:val="0"/>
                <w:numId w:val="15"/>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迁移内容</w:t>
            </w:r>
            <w:r/>
          </w:p>
          <w:p>
            <w:pPr>
              <w:numPr>
                <w:ilvl w:val="0"/>
                <w:numId w:val="15"/>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迁移实施</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Height w:val="1521"/>
        </w:trPr>
        <w:tc>
          <w:tcPr>
            <w:tcW w:w="613" w:type="dxa"/>
            <w:vAlign w:val="center"/>
            <w:textDirection w:val="lrTb"/>
            <w:noWrap w:val="false"/>
          </w:tcPr>
          <w:p>
            <w:pPr>
              <w:jc w:val="center"/>
              <w:spacing w:line="300" w:lineRule="exact"/>
              <w:rPr>
                <w:rFonts w:hint="eastAsia" w:ascii="宋体" w:hAnsi="宋体" w:cs="宋体"/>
                <w:spacing w:val="-3"/>
                <w:sz w:val="24"/>
                <w:highlight w:val="none"/>
              </w:rPr>
            </w:pPr>
            <w:r>
              <w:rPr>
                <w:rFonts w:hint="eastAsia" w:ascii="宋体" w:hAnsi="宋体" w:cs="宋体"/>
                <w:spacing w:val="-3"/>
                <w:sz w:val="24"/>
                <w:highlight w:val="none"/>
              </w:rPr>
              <w:t xml:space="preserve">2.3</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sz w:val="24"/>
                <w:highlight w:val="none"/>
                <w:lang w:val="en-US" w:eastAsia="zh-CN"/>
              </w:rPr>
              <w:t xml:space="preserve">风险</w:t>
            </w:r>
            <w:r>
              <w:rPr>
                <w:rFonts w:hint="eastAsia" w:ascii="宋体" w:hAnsi="宋体" w:cs="宋体"/>
                <w:sz w:val="24"/>
                <w:highlight w:val="none"/>
              </w:rPr>
              <w:t xml:space="preserve">应急服务方案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numPr>
                <w:ilvl w:val="0"/>
                <w:numId w:val="16"/>
              </w:numPr>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评分内容：</w:t>
            </w:r>
            <w:r/>
          </w:p>
          <w:p>
            <w:p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风险应急服务方案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，包含但不限于以下内容：</w:t>
            </w:r>
            <w:r/>
          </w:p>
          <w:p>
            <w:pPr>
              <w:numPr>
                <w:ilvl w:val="0"/>
                <w:numId w:val="17"/>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项目风险预判</w:t>
            </w:r>
            <w:r/>
          </w:p>
          <w:p>
            <w:pPr>
              <w:numPr>
                <w:ilvl w:val="0"/>
                <w:numId w:val="17"/>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项目风险管理</w:t>
            </w:r>
            <w:r/>
          </w:p>
          <w:p>
            <w:pPr>
              <w:numPr>
                <w:ilvl w:val="0"/>
                <w:numId w:val="17"/>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项目应急处置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Pr>
        <w:tc>
          <w:tcPr>
            <w:tcW w:w="613" w:type="dxa"/>
            <w:vAlign w:val="center"/>
            <w:textDirection w:val="lrTb"/>
            <w:noWrap w:val="false"/>
          </w:tcPr>
          <w:p>
            <w:pPr>
              <w:jc w:val="center"/>
              <w:spacing w:line="300" w:lineRule="exact"/>
              <w:rPr>
                <w:rFonts w:hint="eastAsia" w:ascii="宋体" w:hAnsi="宋体" w:cs="宋体"/>
                <w:spacing w:val="-3"/>
                <w:sz w:val="24"/>
                <w:highlight w:val="none"/>
              </w:rPr>
            </w:pPr>
            <w:r>
              <w:rPr>
                <w:rFonts w:hint="eastAsia" w:ascii="宋体" w:hAnsi="宋体" w:cs="宋体"/>
                <w:spacing w:val="-3"/>
                <w:sz w:val="24"/>
                <w:highlight w:val="none"/>
              </w:rPr>
              <w:t xml:space="preserve">2.4</w:t>
            </w:r>
            <w:r/>
          </w:p>
        </w:tc>
        <w:tc>
          <w:tcPr>
            <w:tcW w:w="1119" w:type="dxa"/>
            <w:vAlign w:val="center"/>
            <w:textDirection w:val="lrTb"/>
            <w:noWrap w:val="false"/>
          </w:tcPr>
          <w:p>
            <w:pPr>
              <w:jc w:val="center"/>
              <w:rPr>
                <w:rFonts w:hint="eastAsia" w:ascii="宋体" w:hAnsi="宋体" w:cs="宋体"/>
                <w:spacing w:val="-3"/>
                <w:sz w:val="24"/>
                <w:highlight w:val="none"/>
              </w:rPr>
            </w:pPr>
            <w:r>
              <w:rPr>
                <w:rFonts w:hint="eastAsia" w:ascii="宋体" w:hAnsi="宋体" w:cs="宋体"/>
                <w:spacing w:val="-3"/>
                <w:sz w:val="24"/>
                <w:highlight w:val="none"/>
              </w:rPr>
              <w:t xml:space="preserve">售后服务方案</w:t>
            </w:r>
            <w:r/>
          </w:p>
        </w:tc>
        <w:tc>
          <w:tcPr>
            <w:tcW w:w="690" w:type="dxa"/>
            <w:vAlign w:val="center"/>
            <w:textDirection w:val="lrTb"/>
            <w:noWrap w:val="false"/>
          </w:tcPr>
          <w:p>
            <w:pPr>
              <w:jc w:val="center"/>
              <w:widowControl/>
              <w:rPr>
                <w:sz w:val="24"/>
                <w:highlight w:val="none"/>
              </w:rPr>
            </w:pPr>
            <w:r>
              <w:rPr>
                <w:rFonts w:hint="eastAsia"/>
                <w:sz w:val="24"/>
                <w:highlight w:val="none"/>
              </w:rPr>
              <w:t xml:space="preserve">10</w:t>
            </w:r>
            <w:r/>
          </w:p>
        </w:tc>
        <w:tc>
          <w:tcPr>
            <w:tcW w:w="5835" w:type="dxa"/>
            <w:vAlign w:val="center"/>
            <w:textDirection w:val="lrTb"/>
            <w:noWrap w:val="false"/>
          </w:tcPr>
          <w:p>
            <w:pPr>
              <w:numPr>
                <w:ilvl w:val="0"/>
                <w:numId w:val="18"/>
              </w:numPr>
              <w:spacing w:line="24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评分内容：</w:t>
            </w:r>
            <w:r/>
          </w:p>
          <w:p>
            <w:pPr>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考察投标人对项目的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方案，包含但不限于以下内容：</w:t>
            </w:r>
            <w:r/>
          </w:p>
          <w:p>
            <w:pPr>
              <w:numPr>
                <w:ilvl w:val="0"/>
                <w:numId w:val="19"/>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售后服务内容</w:t>
            </w:r>
            <w:r/>
          </w:p>
          <w:p>
            <w:pPr>
              <w:numPr>
                <w:ilvl w:val="0"/>
                <w:numId w:val="19"/>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售后服务体系</w:t>
            </w:r>
            <w:r/>
          </w:p>
          <w:p>
            <w:pPr>
              <w:numPr>
                <w:ilvl w:val="0"/>
                <w:numId w:val="19"/>
              </w:numPr>
              <w:ind w:left="0" w:firstLine="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售后服务培训</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1.考察以上内容，满足上述任意一项内容的得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0%；其他不得分。</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（1）方案可行性强，阐述详实具体，评审加</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（2）方案可行性较强，阐述比较详实具体，评审加</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0%；</w:t>
            </w:r>
            <w:r/>
          </w:p>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4"/>
                <w:szCs w:val="24"/>
                <w:highlight w:val="none"/>
                <w:lang w:val="en-US" w:eastAsia="zh-CN"/>
              </w:rPr>
              <w:outlineLvl w:val="9"/>
              <w:suppressLineNumbers w:val="0"/>
            </w:pPr>
            <w:r>
              <w:rPr>
                <w:rFonts w:hint="eastAsia" w:ascii="宋体" w:hAnsi="宋体" w:eastAsia="宋体" w:cs="宋体"/>
                <w:sz w:val="24"/>
                <w:szCs w:val="24"/>
                <w:highlight w:val="none"/>
                <w:lang w:val="en-US" w:eastAsia="zh-CN"/>
              </w:rPr>
              <w:t xml:space="preserve">（3）方案可行性一般，阐述不够充分，评审加10%；</w:t>
            </w:r>
            <w:r/>
          </w:p>
          <w:p>
            <w:pPr>
              <w:spacing w:line="240" w:lineRule="auto"/>
              <w:widowControl/>
              <w:rPr>
                <w:sz w:val="24"/>
                <w:highlight w:val="none"/>
              </w:rPr>
            </w:pPr>
            <w:r>
              <w:rPr>
                <w:rFonts w:hint="eastAsia" w:ascii="宋体" w:hAnsi="宋体" w:eastAsia="宋体" w:cs="宋体"/>
                <w:sz w:val="24"/>
                <w:szCs w:val="24"/>
                <w:highlight w:val="none"/>
                <w:lang w:val="en-US" w:eastAsia="zh-CN"/>
              </w:rPr>
              <w:t xml:space="preserve">（4）方案可行性差或阐述不充分的，不加分。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Pr>
        <w:tc>
          <w:tcPr>
            <w:tcW w:w="613"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3</w:t>
            </w:r>
            <w:r/>
          </w:p>
        </w:tc>
        <w:tc>
          <w:tcPr>
            <w:tcW w:w="1119"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t xml:space="preserve">客观分</w:t>
            </w:r>
            <w:r/>
          </w:p>
        </w:tc>
        <w:tc>
          <w:tcPr>
            <w:tcW w:w="690" w:type="dxa"/>
            <w:vAlign w:val="center"/>
            <w:textDirection w:val="lrTb"/>
            <w:noWrap w:val="false"/>
          </w:tcPr>
          <w:p>
            <w:pPr>
              <w:jc w:val="center"/>
              <w:spacing w:line="300" w:lineRule="exact"/>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39</w:t>
            </w:r>
            <w:r/>
          </w:p>
        </w:tc>
        <w:tc>
          <w:tcPr>
            <w:tcW w:w="5835" w:type="dxa"/>
            <w:vAlign w:val="center"/>
            <w:textDirection w:val="lrTb"/>
            <w:noWrap w:val="false"/>
          </w:tcPr>
          <w:p>
            <w:pPr>
              <w:jc w:val="center"/>
              <w:spacing w:line="300" w:lineRule="exact"/>
              <w:rPr>
                <w:rFonts w:hint="eastAsia" w:ascii="宋体" w:hAnsi="宋体" w:cs="宋体"/>
                <w:b/>
                <w:bCs/>
                <w:sz w:val="24"/>
                <w:highlight w:val="none"/>
              </w:rPr>
            </w:pPr>
            <w:r>
              <w:rPr>
                <w:rFonts w:hint="eastAsia" w:ascii="宋体" w:hAnsi="宋体" w:cs="宋体"/>
                <w:b/>
                <w:bCs/>
                <w:sz w:val="24"/>
                <w:highlight w:val="none"/>
              </w:rPr>
            </w:r>
            <w:r/>
          </w:p>
        </w:tc>
        <w:tc>
          <w:tcPr>
            <w:tcW w:w="2652" w:type="dxa"/>
            <w:vAlign w:val="center"/>
            <w:textDirection w:val="lrTb"/>
            <w:noWrap w:val="false"/>
          </w:tcPr>
          <w:p>
            <w:pPr>
              <w:ind w:firstLine="643"/>
              <w:jc w:val="center"/>
              <w:spacing w:line="300" w:lineRule="exact"/>
              <w:rPr>
                <w:rFonts w:hint="eastAsia" w:ascii="宋体" w:hAnsi="宋体" w:cs="宋体"/>
                <w:b/>
                <w:bCs/>
                <w:sz w:val="24"/>
                <w:highlight w:val="none"/>
              </w:rPr>
            </w:pPr>
            <w:r>
              <w:rPr>
                <w:rFonts w:hint="eastAsia" w:ascii="宋体" w:hAnsi="宋体" w:cs="宋体"/>
                <w:b/>
                <w:bCs/>
                <w:sz w:val="24"/>
                <w:highlight w:val="none"/>
              </w:rPr>
            </w:r>
            <w:r/>
          </w:p>
        </w:tc>
      </w:tr>
      <w:tr>
        <w:trPr>
          <w:jc w:val="center"/>
          <w:trHeight w:val="1341"/>
        </w:trPr>
        <w:tc>
          <w:tcPr>
            <w:tcW w:w="613"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t xml:space="preserve">3.1</w:t>
            </w:r>
            <w:r/>
          </w:p>
        </w:tc>
        <w:tc>
          <w:tcPr>
            <w:tcW w:w="1119" w:type="dxa"/>
            <w:vAlign w:val="center"/>
            <w:textDirection w:val="lrTb"/>
            <w:noWrap w:val="false"/>
          </w:tcPr>
          <w:p>
            <w:pPr>
              <w:jc w:val="center"/>
              <w:widowControl/>
              <w:rPr>
                <w:rFonts w:hint="eastAsia" w:ascii="宋体" w:hAnsi="宋体" w:cs="宋体"/>
                <w:bCs/>
                <w:sz w:val="24"/>
                <w:highlight w:val="none"/>
              </w:rPr>
            </w:pPr>
            <w:r>
              <w:rPr>
                <w:rFonts w:hint="eastAsia" w:ascii="宋体" w:hAnsi="宋体" w:cs="宋体"/>
                <w:color w:val="000000"/>
                <w:szCs w:val="21"/>
                <w:highlight w:val="none"/>
              </w:rPr>
              <w:t xml:space="preserve">企业业绩</w:t>
            </w:r>
            <w:r/>
          </w:p>
        </w:tc>
        <w:tc>
          <w:tcPr>
            <w:tcW w:w="690" w:type="dxa"/>
            <w:vAlign w:val="center"/>
            <w:textDirection w:val="lrTb"/>
            <w:noWrap w:val="false"/>
          </w:tcPr>
          <w:p>
            <w:pPr>
              <w:jc w:val="center"/>
              <w:rPr>
                <w:sz w:val="24"/>
                <w:highlight w:val="none"/>
              </w:rPr>
            </w:pPr>
            <w:r>
              <w:rPr>
                <w:rFonts w:hint="eastAsia"/>
                <w:sz w:val="24"/>
                <w:highlight w:val="none"/>
              </w:rPr>
              <w:t xml:space="preserve">15</w:t>
            </w:r>
            <w:r/>
          </w:p>
        </w:tc>
        <w:tc>
          <w:tcPr>
            <w:tcW w:w="5835" w:type="dxa"/>
            <w:vAlign w:val="center"/>
            <w:textDirection w:val="lrTb"/>
            <w:noWrap w:val="false"/>
          </w:tcPr>
          <w:p>
            <w:pPr>
              <w:widowControl/>
              <w:rPr>
                <w:rFonts w:hint="eastAsia" w:ascii="宋体" w:hAnsi="宋体" w:cs="宋体"/>
                <w:color w:val="000000"/>
                <w:sz w:val="24"/>
                <w:highlight w:val="none"/>
              </w:rPr>
            </w:pPr>
            <w:r>
              <w:rPr>
                <w:rFonts w:hint="eastAsia"/>
                <w:sz w:val="24"/>
                <w:highlight w:val="none"/>
                <w:lang w:val="en-US" w:eastAsia="zh-CN"/>
              </w:rPr>
              <w:t xml:space="preserve">投标人自2023年6月5日以来</w:t>
            </w:r>
            <w:r>
              <w:rPr>
                <w:rFonts w:hint="eastAsia"/>
                <w:sz w:val="24"/>
                <w:highlight w:val="none"/>
              </w:rPr>
              <w:t xml:space="preserve">承担</w:t>
            </w:r>
            <w:r>
              <w:rPr>
                <w:rFonts w:hint="eastAsia"/>
                <w:sz w:val="24"/>
                <w:highlight w:val="none"/>
                <w:lang w:val="en-US" w:eastAsia="zh-CN"/>
              </w:rPr>
              <w:t xml:space="preserve">过</w:t>
            </w:r>
            <w:r>
              <w:rPr>
                <w:rFonts w:hint="eastAsia"/>
                <w:sz w:val="24"/>
                <w:highlight w:val="none"/>
              </w:rPr>
              <w:t xml:space="preserve">医疗</w:t>
            </w:r>
            <w:r>
              <w:rPr>
                <w:rFonts w:hint="eastAsia"/>
                <w:sz w:val="24"/>
                <w:highlight w:val="none"/>
                <w:lang w:val="en-US" w:eastAsia="zh-CN"/>
              </w:rPr>
              <w:t xml:space="preserve">机构数据库迁移案例，</w:t>
            </w:r>
            <w:r>
              <w:rPr>
                <w:rFonts w:hint="eastAsia" w:ascii="宋体" w:hAnsi="宋体" w:cs="宋体"/>
                <w:sz w:val="24"/>
                <w:highlight w:val="none"/>
              </w:rPr>
              <w:t xml:space="preserve">每提供一个业绩得3分，满分15分。</w:t>
            </w:r>
            <w:r/>
          </w:p>
          <w:p>
            <w:pPr>
              <w:widowControl/>
              <w:rPr>
                <w:color w:val="ff0000"/>
                <w:sz w:val="24"/>
                <w:highlight w:val="none"/>
              </w:rPr>
            </w:pPr>
            <w:r>
              <w:rPr>
                <w:rFonts w:hint="eastAsia"/>
                <w:color w:val="ff0000"/>
                <w:sz w:val="24"/>
                <w:highlight w:val="none"/>
              </w:rPr>
              <w:t xml:space="preserve">注：1.提供合同材料。</w:t>
            </w:r>
            <w:r/>
          </w:p>
          <w:p>
            <w:pPr>
              <w:widowControl/>
              <w:rPr>
                <w:color w:val="ff0000"/>
                <w:sz w:val="24"/>
                <w:highlight w:val="none"/>
              </w:rPr>
            </w:pPr>
            <w:r>
              <w:rPr>
                <w:rFonts w:hint="eastAsia"/>
                <w:color w:val="ff0000"/>
                <w:sz w:val="24"/>
                <w:highlight w:val="none"/>
              </w:rPr>
              <w:t xml:space="preserve">2.项目业绩时间以合同签订时间为准。</w:t>
            </w:r>
            <w:r/>
          </w:p>
          <w:p>
            <w:pPr>
              <w:widowControl/>
              <w:rPr>
                <w:color w:val="ff0000"/>
                <w:sz w:val="24"/>
                <w:highlight w:val="none"/>
              </w:rPr>
            </w:pPr>
            <w:r>
              <w:rPr>
                <w:rFonts w:hint="eastAsia"/>
                <w:color w:val="ff0000"/>
                <w:sz w:val="24"/>
                <w:highlight w:val="none"/>
              </w:rPr>
              <w:t xml:space="preserve">3.同一业主单位同一项目不同年度的业绩不重复计分。</w:t>
            </w:r>
            <w:r/>
          </w:p>
          <w:p>
            <w:pPr>
              <w:widowControl/>
              <w:rPr>
                <w:rFonts w:hint="eastAsia" w:ascii="宋体" w:hAnsi="宋体" w:cs="宋体"/>
                <w:bCs/>
                <w:sz w:val="24"/>
                <w:highlight w:val="none"/>
              </w:rPr>
            </w:pPr>
            <w:r>
              <w:rPr>
                <w:rFonts w:hint="eastAsia"/>
                <w:color w:val="ff0000"/>
                <w:sz w:val="24"/>
                <w:highlight w:val="none"/>
              </w:rPr>
              <w:t xml:space="preserve">4.未按要求提供或提供不清晰导致专家无法判断的不得分。</w:t>
            </w:r>
            <w:r/>
          </w:p>
        </w:tc>
        <w:tc>
          <w:tcPr>
            <w:tcW w:w="2652"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r>
            <w:r/>
          </w:p>
        </w:tc>
      </w:tr>
      <w:tr>
        <w:trPr>
          <w:jc w:val="center"/>
          <w:trHeight w:val="680"/>
        </w:trPr>
        <w:tc>
          <w:tcPr>
            <w:tcW w:w="613"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t xml:space="preserve">3.2</w:t>
            </w:r>
            <w:r/>
          </w:p>
        </w:tc>
        <w:tc>
          <w:tcPr>
            <w:tcW w:w="1119" w:type="dxa"/>
            <w:vAlign w:val="center"/>
            <w:textDirection w:val="lrTb"/>
            <w:noWrap w:val="false"/>
          </w:tcPr>
          <w:p>
            <w:pPr>
              <w:jc w:val="center"/>
              <w:widowControl/>
              <w:rPr>
                <w:sz w:val="24"/>
                <w:highlight w:val="none"/>
              </w:rPr>
            </w:pPr>
            <w:r>
              <w:rPr>
                <w:rFonts w:hint="eastAsia"/>
                <w:sz w:val="24"/>
                <w:highlight w:val="none"/>
              </w:rPr>
              <w:t xml:space="preserve">企业资质</w:t>
            </w:r>
            <w:r/>
          </w:p>
        </w:tc>
        <w:tc>
          <w:tcPr>
            <w:tcW w:w="690" w:type="dxa"/>
            <w:vAlign w:val="center"/>
            <w:textDirection w:val="lrTb"/>
            <w:noWrap w:val="false"/>
          </w:tcPr>
          <w:p>
            <w:pPr>
              <w:jc w:val="center"/>
              <w:widowControl/>
              <w:rPr>
                <w:rFonts w:hint="eastAsia"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2</w:t>
            </w:r>
            <w:r/>
          </w:p>
        </w:tc>
        <w:tc>
          <w:tcPr>
            <w:tcW w:w="5835" w:type="dxa"/>
            <w:vAlign w:val="center"/>
            <w:textDirection w:val="lrTb"/>
            <w:noWrap w:val="false"/>
          </w:tcPr>
          <w:p>
            <w:pPr>
              <w:rPr>
                <w:rFonts w:hint="eastAsia" w:ascii="宋体" w:hAnsi="宋体" w:cs="宋体"/>
                <w:b/>
                <w:bCs/>
                <w:sz w:val="24"/>
                <w:highlight w:val="none"/>
              </w:rPr>
            </w:pPr>
            <w:r>
              <w:rPr>
                <w:rFonts w:hint="eastAsia" w:ascii="宋体" w:hAnsi="宋体" w:cs="宋体"/>
                <w:b/>
                <w:bCs/>
                <w:sz w:val="24"/>
                <w:highlight w:val="none"/>
              </w:rPr>
              <w:t xml:space="preserve">1.投标人具有国家认可且在有限期内的：</w:t>
            </w:r>
            <w:r/>
          </w:p>
          <w:p>
            <w:pPr>
              <w:rPr>
                <w:rFonts w:hint="eastAsia" w:ascii="宋体" w:hAnsi="宋体" w:cs="宋体"/>
                <w:sz w:val="24"/>
                <w:highlight w:val="none"/>
              </w:rPr>
            </w:pPr>
            <w:r>
              <w:rPr>
                <w:rFonts w:hint="eastAsia" w:ascii="宋体" w:hAnsi="宋体" w:cs="宋体"/>
                <w:sz w:val="24"/>
                <w:highlight w:val="none"/>
              </w:rPr>
              <w:t xml:space="preserve">（1）信息技术服务管理体系认证证书得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hint="eastAsia" w:ascii="宋体" w:hAnsi="宋体" w:cs="宋体"/>
                <w:sz w:val="24"/>
                <w:highlight w:val="none"/>
              </w:rPr>
            </w:pPr>
            <w:r>
              <w:rPr>
                <w:rFonts w:hint="eastAsia" w:ascii="宋体" w:hAnsi="宋体" w:cs="宋体"/>
                <w:sz w:val="24"/>
                <w:highlight w:val="none"/>
              </w:rPr>
              <w:t xml:space="preserve">（2）信息安全管理体系认证证书得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highlight w:val="none"/>
              </w:rPr>
            </w:pPr>
            <w:r>
              <w:rPr>
                <w:rFonts w:hint="eastAsia" w:ascii="宋体" w:hAnsi="宋体" w:cs="宋体"/>
                <w:sz w:val="24"/>
                <w:highlight w:val="none"/>
              </w:rPr>
              <w:t xml:space="preserve">（3）质量管理体系认证证书得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rPr>
                <w:rFonts w:hint="eastAsia" w:ascii="宋体" w:hAnsi="宋体" w:cs="宋体"/>
                <w:sz w:val="24"/>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w:t>
            </w:r>
            <w:r>
              <w:rPr>
                <w:rFonts w:hint="eastAsia" w:ascii="宋体" w:hAnsi="宋体" w:cs="宋体"/>
                <w:sz w:val="24"/>
              </w:rPr>
              <w:t xml:space="preserve">信息系统建设和服务能力等级证书得3分；</w:t>
            </w:r>
            <w:r/>
          </w:p>
          <w:p>
            <w:pPr>
              <w:rPr>
                <w:rFonts w:hint="eastAsia" w:ascii="宋体" w:hAnsi="宋体" w:cs="宋体"/>
                <w:sz w:val="24"/>
                <w:highlight w:val="none"/>
              </w:rPr>
            </w:pPr>
            <w:r>
              <w:rPr>
                <w:rFonts w:hint="eastAsia" w:ascii="宋体" w:hAnsi="宋体" w:cs="宋体"/>
                <w:sz w:val="24"/>
                <w:highlight w:val="none"/>
              </w:rPr>
              <w:t xml:space="preserve">本大项最高得1</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p>
          <w:p>
            <w:pPr>
              <w:widowControl/>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注：1.提供相关证书材料；</w:t>
            </w:r>
            <w:r/>
          </w:p>
          <w:p>
            <w:pPr>
              <w:widowControl/>
              <w:rPr>
                <w:sz w:val="24"/>
                <w:highlight w:val="none"/>
              </w:rPr>
            </w:pPr>
            <w:r>
              <w:rPr>
                <w:rFonts w:hint="eastAsia" w:ascii="宋体" w:hAnsi="宋体" w:cs="宋体"/>
                <w:b/>
                <w:bCs/>
                <w:color w:val="ff0000"/>
                <w:sz w:val="24"/>
                <w:highlight w:val="none"/>
              </w:rPr>
              <w:t xml:space="preserve">2.未按要求提供或提供不清晰导致专家无法判断的不得分。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r>
        <w:trPr>
          <w:jc w:val="center"/>
          <w:trHeight w:val="680"/>
        </w:trPr>
        <w:tc>
          <w:tcPr>
            <w:tcW w:w="613" w:type="dxa"/>
            <w:vAlign w:val="center"/>
            <w:textDirection w:val="lrTb"/>
            <w:noWrap w:val="false"/>
          </w:tcPr>
          <w:p>
            <w:pPr>
              <w:spacing w:line="300" w:lineRule="exact"/>
              <w:rPr>
                <w:rFonts w:hint="eastAsia" w:ascii="宋体" w:hAnsi="宋体" w:cs="宋体"/>
                <w:bCs/>
                <w:sz w:val="24"/>
                <w:highlight w:val="none"/>
              </w:rPr>
            </w:pPr>
            <w:r>
              <w:rPr>
                <w:rFonts w:hint="eastAsia" w:ascii="宋体" w:hAnsi="宋体" w:cs="宋体"/>
                <w:bCs/>
                <w:sz w:val="24"/>
                <w:highlight w:val="none"/>
              </w:rPr>
              <w:t xml:space="preserve">3.3</w:t>
            </w:r>
            <w:r/>
          </w:p>
        </w:tc>
        <w:tc>
          <w:tcPr>
            <w:tcW w:w="1119" w:type="dxa"/>
            <w:vAlign w:val="center"/>
            <w:textDirection w:val="lrTb"/>
            <w:noWrap w:val="false"/>
          </w:tcPr>
          <w:p>
            <w:pPr>
              <w:jc w:val="center"/>
              <w:widowControl/>
              <w:rPr>
                <w:sz w:val="24"/>
                <w:highlight w:val="none"/>
              </w:rPr>
            </w:pPr>
            <w:r>
              <w:rPr>
                <w:rFonts w:hint="eastAsia"/>
                <w:sz w:val="24"/>
                <w:highlight w:val="none"/>
              </w:rPr>
              <w:t xml:space="preserve">人员实力</w:t>
            </w:r>
            <w:r/>
          </w:p>
        </w:tc>
        <w:tc>
          <w:tcPr>
            <w:tcW w:w="690" w:type="dxa"/>
            <w:vAlign w:val="center"/>
            <w:textDirection w:val="lrTb"/>
            <w:noWrap w:val="false"/>
          </w:tcPr>
          <w:p>
            <w:pPr>
              <w:jc w:val="center"/>
              <w:widowControl/>
              <w:rPr>
                <w:rFonts w:hint="eastAsia"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2</w:t>
            </w:r>
            <w:r/>
          </w:p>
        </w:tc>
        <w:tc>
          <w:tcPr>
            <w:tcW w:w="5835" w:type="dxa"/>
            <w:vAlign w:val="center"/>
            <w:textDirection w:val="lrTb"/>
            <w:noWrap w:val="false"/>
          </w:tcPr>
          <w:p>
            <w:pPr>
              <w:numPr>
                <w:ilvl w:val="0"/>
                <w:numId w:val="20"/>
              </w:numPr>
              <w:rPr>
                <w:rFonts w:hint="eastAsia" w:ascii="宋体" w:hAnsi="宋体" w:cs="宋体"/>
                <w:color w:val="000000"/>
                <w:sz w:val="24"/>
                <w:highlight w:val="none"/>
              </w:rPr>
            </w:pPr>
            <w:r>
              <w:rPr>
                <w:rFonts w:hint="eastAsia" w:ascii="宋体" w:hAnsi="宋体" w:cs="宋体"/>
                <w:color w:val="000000"/>
                <w:sz w:val="24"/>
                <w:highlight w:val="none"/>
              </w:rPr>
              <w:t xml:space="preserve">投标人针对本项目拟派的负责人员：</w:t>
            </w:r>
            <w:r/>
          </w:p>
          <w:p>
            <w:pPr>
              <w:rPr>
                <w:rFonts w:hint="eastAsia" w:ascii="宋体" w:hAnsi="宋体" w:cs="宋体"/>
                <w:color w:val="000000"/>
                <w:sz w:val="24"/>
                <w:highlight w:val="none"/>
              </w:rPr>
            </w:pPr>
            <w:r>
              <w:rPr>
                <w:rFonts w:hint="eastAsia" w:ascii="宋体" w:hAnsi="宋体" w:cs="宋体"/>
                <w:color w:val="000000"/>
                <w:sz w:val="24"/>
                <w:highlight w:val="none"/>
                <w:lang w:val="zh-CN"/>
              </w:rPr>
              <w:t xml:space="preserve">项目</w:t>
            </w:r>
            <w:r>
              <w:rPr>
                <w:rFonts w:hint="eastAsia" w:ascii="宋体" w:hAnsi="宋体" w:cs="宋体"/>
                <w:color w:val="000000"/>
                <w:sz w:val="24"/>
                <w:highlight w:val="none"/>
              </w:rPr>
              <w:t xml:space="preserve">负责人（限评1人，不得兼职）：</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（1）具有信息系统项目管理师</w:t>
            </w:r>
            <w:r>
              <w:rPr>
                <w:rFonts w:hint="eastAsia" w:ascii="宋体" w:hAnsi="宋体" w:cs="宋体"/>
                <w:color w:val="000000"/>
                <w:sz w:val="24"/>
                <w:highlight w:val="none"/>
                <w:lang w:eastAsia="zh-CN"/>
              </w:rPr>
              <w:t xml:space="preserve">证书</w:t>
            </w:r>
            <w:r>
              <w:rPr>
                <w:rFonts w:hint="eastAsia" w:ascii="宋体" w:hAnsi="宋体" w:cs="宋体"/>
                <w:color w:val="000000"/>
                <w:sz w:val="24"/>
                <w:highlight w:val="none"/>
              </w:rPr>
              <w:t xml:space="preserve">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lang w:val="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）具有系统集成项目管理工程师</w:t>
            </w:r>
            <w:r>
              <w:rPr>
                <w:rFonts w:hint="eastAsia" w:ascii="宋体" w:hAnsi="宋体" w:cs="宋体"/>
                <w:color w:val="000000"/>
                <w:sz w:val="24"/>
                <w:highlight w:val="none"/>
                <w:lang w:eastAsia="zh-CN"/>
              </w:rPr>
              <w:t xml:space="preserve">证书</w:t>
            </w:r>
            <w:r>
              <w:rPr>
                <w:rFonts w:hint="eastAsia" w:ascii="宋体" w:hAnsi="宋体" w:cs="宋体"/>
                <w:color w:val="000000"/>
                <w:sz w:val="24"/>
                <w:highlight w:val="none"/>
              </w:rPr>
              <w:t xml:space="preserve">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本项最高得6分</w:t>
            </w:r>
            <w:r/>
          </w:p>
          <w:p>
            <w:pPr>
              <w:numPr>
                <w:ilvl w:val="0"/>
                <w:numId w:val="20"/>
              </w:numPr>
              <w:rPr>
                <w:rFonts w:hint="eastAsia" w:ascii="宋体" w:hAnsi="宋体" w:cs="宋体"/>
                <w:color w:val="000000"/>
                <w:sz w:val="24"/>
                <w:highlight w:val="none"/>
              </w:rPr>
            </w:pPr>
            <w:r>
              <w:rPr>
                <w:rFonts w:hint="eastAsia" w:ascii="宋体" w:hAnsi="宋体" w:cs="宋体"/>
                <w:color w:val="000000"/>
                <w:sz w:val="24"/>
                <w:highlight w:val="none"/>
              </w:rPr>
              <w:t xml:space="preserve">项目团队人员：</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（1）具有系统架构设计师得1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（2）具有系统规划与管理师1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（3）系统集成项目管理工程师得1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（4）具有数据库系统工程师得1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本项最高得</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分；</w:t>
            </w:r>
            <w:r/>
          </w:p>
          <w:p>
            <w:pP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本项最高得6分</w:t>
            </w:r>
            <w:r/>
          </w:p>
          <w:p>
            <w:pPr>
              <w:rPr>
                <w:rFonts w:hint="eastAsia" w:ascii="宋体" w:hAnsi="宋体" w:cs="宋体"/>
                <w:color w:val="000000"/>
                <w:sz w:val="24"/>
                <w:highlight w:val="none"/>
              </w:rPr>
            </w:pPr>
            <w:r>
              <w:rPr>
                <w:rFonts w:hint="eastAsia" w:ascii="宋体" w:hAnsi="宋体" w:cs="宋体"/>
                <w:color w:val="000000"/>
                <w:sz w:val="24"/>
                <w:highlight w:val="none"/>
              </w:rPr>
              <w:t xml:space="preserve">本大项最高得1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p>
          <w:p>
            <w:pPr>
              <w:widowControl/>
              <w:rPr>
                <w:rFonts w:hint="eastAsia" w:ascii="宋体" w:hAnsi="宋体" w:cs="宋体"/>
                <w:b/>
                <w:bCs/>
                <w:color w:val="ff0000"/>
                <w:sz w:val="24"/>
                <w:highlight w:val="none"/>
              </w:rPr>
            </w:pPr>
            <w:r>
              <w:rPr>
                <w:rFonts w:hint="eastAsia" w:ascii="宋体" w:hAnsi="宋体" w:cs="宋体"/>
                <w:b/>
                <w:bCs/>
                <w:color w:val="ff0000"/>
                <w:sz w:val="24"/>
                <w:highlight w:val="none"/>
              </w:rPr>
              <w:t xml:space="preserve">注：1.提供相关证书材料；</w:t>
            </w:r>
            <w:r/>
          </w:p>
          <w:p>
            <w:pPr>
              <w:widowControl/>
              <w:rPr>
                <w:rFonts w:hint="eastAsia" w:ascii="宋体" w:hAnsi="宋体" w:cs="宋体"/>
                <w:b/>
                <w:bCs/>
                <w:color w:val="ff0000"/>
                <w:sz w:val="24"/>
                <w:highlight w:val="none"/>
              </w:rPr>
            </w:pPr>
            <w:r>
              <w:rPr>
                <w:rFonts w:hint="eastAsia" w:ascii="宋体" w:hAnsi="宋体" w:cs="宋体"/>
                <w:b/>
                <w:bCs/>
                <w:color w:val="ff0000"/>
                <w:sz w:val="24"/>
                <w:highlight w:val="none"/>
              </w:rPr>
              <w:t xml:space="preserve">2.提供投标人为其缴纳的近半年（投标文件提交截止时间往前推）任意一个</w:t>
            </w:r>
            <w:bookmarkStart w:id="909" w:name="_GoBack"/>
            <w:r/>
            <w:bookmarkEnd w:id="909"/>
            <w:r>
              <w:rPr>
                <w:rFonts w:hint="eastAsia" w:ascii="宋体" w:hAnsi="宋体" w:cs="宋体"/>
                <w:b/>
                <w:bCs/>
                <w:color w:val="ff0000"/>
                <w:sz w:val="24"/>
                <w:highlight w:val="none"/>
              </w:rPr>
              <w:t xml:space="preserve">月的社保缴纳证明材料；</w:t>
            </w:r>
            <w:r/>
          </w:p>
          <w:p>
            <w:pPr>
              <w:widowControl/>
              <w:rPr>
                <w:sz w:val="24"/>
                <w:highlight w:val="none"/>
              </w:rPr>
            </w:pPr>
            <w:r>
              <w:rPr>
                <w:rFonts w:hint="eastAsia" w:ascii="宋体" w:hAnsi="宋体" w:cs="宋体"/>
                <w:b/>
                <w:bCs/>
                <w:color w:val="ff0000"/>
                <w:sz w:val="24"/>
                <w:highlight w:val="none"/>
              </w:rPr>
              <w:t xml:space="preserve">3.未按要求提供或提供不清晰导致专家无法判断的不得分。</w:t>
            </w:r>
            <w:r/>
          </w:p>
        </w:tc>
        <w:tc>
          <w:tcPr>
            <w:tcW w:w="2652" w:type="dxa"/>
            <w:vAlign w:val="center"/>
            <w:textDirection w:val="lrTb"/>
            <w:noWrap w:val="false"/>
          </w:tcPr>
          <w:p>
            <w:pPr>
              <w:spacing w:line="300" w:lineRule="exact"/>
              <w:rPr>
                <w:rFonts w:hint="eastAsia" w:ascii="宋体" w:hAnsi="宋体" w:cs="宋体"/>
                <w:spacing w:val="-3"/>
                <w:sz w:val="24"/>
                <w:highlight w:val="none"/>
              </w:rPr>
            </w:pPr>
            <w:r>
              <w:rPr>
                <w:rFonts w:hint="eastAsia" w:ascii="宋体" w:hAnsi="宋体" w:cs="宋体"/>
                <w:spacing w:val="-3"/>
                <w:sz w:val="24"/>
                <w:highlight w:val="none"/>
              </w:rPr>
            </w:r>
            <w:r/>
          </w:p>
        </w:tc>
      </w:tr>
    </w:tbl>
    <w:p>
      <w:pPr>
        <w:ind w:firstLine="420"/>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 1、若相关证照为电子证书的，须符合发证部门的使用要求。</w:t>
      </w:r>
      <w:r/>
    </w:p>
    <w:p>
      <w:pPr>
        <w:numPr>
          <w:ilvl w:val="0"/>
          <w:numId w:val="21"/>
        </w:numPr>
        <w:ind w:left="17" w:firstLine="998"/>
        <w:spacing w:line="3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评分细则中要求提供的证明文件及资料等在响应文件中提供扫描件并加盖公章，否则不得分。</w:t>
      </w:r>
      <w:r/>
    </w:p>
    <w:p>
      <w:pPr>
        <w:numPr>
          <w:ilvl w:val="0"/>
          <w:numId w:val="21"/>
        </w:numPr>
        <w:ind w:left="17" w:firstLine="998"/>
        <w:spacing w:line="360" w:lineRule="exact"/>
        <w:rPr>
          <w:highlight w:val="none"/>
        </w:rPr>
      </w:pPr>
      <w:r>
        <w:rPr>
          <w:rFonts w:hint="eastAsia" w:ascii="宋体" w:hAnsi="宋体"/>
          <w:color w:val="000000" w:themeColor="text1"/>
          <w:sz w:val="24"/>
          <w:highlight w:val="none"/>
          <w14:textFill>
            <w14:solidFill>
              <w14:schemeClr w14:val="tx1"/>
            </w14:solidFill>
          </w14:textFill>
        </w:rPr>
        <w:t xml:space="preserve">上述各项得分相加即为供应商评审总分，评审总分最高者为第一成交候选人，其次为第二成交候选人。若得分相同，则以价格低的为成交供应商。</w:t>
      </w:r>
      <w:r/>
    </w:p>
    <w:p>
      <w:pPr>
        <w:rPr>
          <w:b/>
          <w:sz w:val="36"/>
          <w:szCs w:val="36"/>
          <w:highlight w:val="none"/>
        </w:rPr>
      </w:pPr>
      <w:r/>
      <w:bookmarkStart w:id="811" w:name="_Toc99301424"/>
      <w:r>
        <w:rPr>
          <w:b/>
          <w:sz w:val="36"/>
          <w:szCs w:val="36"/>
          <w:highlight w:val="none"/>
        </w:rPr>
        <w:br w:type="page" w:clear="all"/>
      </w:r>
      <w:r/>
    </w:p>
    <w:p>
      <w:pPr>
        <w:ind w:firstLine="1265"/>
        <w:jc w:val="center"/>
        <w:spacing w:line="360" w:lineRule="auto"/>
        <w:rPr>
          <w:b/>
          <w:sz w:val="36"/>
          <w:szCs w:val="36"/>
          <w:highlight w:val="none"/>
        </w:rPr>
        <w:outlineLvl w:val="0"/>
      </w:pPr>
      <w:r>
        <w:rPr>
          <w:b/>
          <w:sz w:val="36"/>
          <w:szCs w:val="36"/>
          <w:highlight w:val="none"/>
        </w:rPr>
        <w:t xml:space="preserve">第五章   采购需求</w:t>
      </w:r>
      <w:bookmarkEnd w:id="811"/>
      <w:r/>
      <w:r/>
    </w:p>
    <w:p>
      <w:pPr>
        <w:pStyle w:val="1498"/>
        <w:ind w:firstLine="562"/>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bookmarkStart w:id="812" w:name="_Toc99301425"/>
      <w:r>
        <w:rPr>
          <w:rFonts w:hint="eastAsia" w:ascii="宋体" w:hAnsi="宋体" w:eastAsia="宋体" w:cs="宋体"/>
          <w:b/>
          <w:color w:val="000000" w:themeColor="text1"/>
          <w:sz w:val="28"/>
          <w:szCs w:val="28"/>
          <w:highlight w:val="none"/>
          <w14:textFill>
            <w14:solidFill>
              <w14:schemeClr w14:val="tx1"/>
            </w14:solidFill>
          </w14:textFill>
        </w:rPr>
        <w:t xml:space="preserve">一、采购标的</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1．项目名称：主业务系统硬件扩容及数据库迁移</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2．预算金额：130万元</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3．最高限价：130万元，投标报价超过最高限价的作无效投标文件处理。</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4．采购项目概况（简介）：采购满足HIS、LIS、CIS、RIS软件部署性能资源需求，通过HA负载均衡软件搭建主业务系统的双活架构建设。并将原HIS、LIS、CIS、RIS软件迁移至新的双活架构资源平台上；</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5．合同履行期限：合同签订之日起</w:t>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0日内完成规划、设计、调试及平台投入运行，并经采购人验收合格。（具体以甲方要求为准）</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6．是/否接受联合体投标：否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7．是/否接受分支机构参与响应：否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8．是/否属于政府购买服务：否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9．是/否接受进口产品投标：否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10．是/否专门面向中小企业预留采购份额：否</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11．本项目的特定资格要求：无</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12．项目类别：服务类</w:t>
      </w:r>
      <w:r/>
    </w:p>
    <w:p>
      <w:pPr>
        <w:pStyle w:val="1498"/>
        <w:ind w:firstLine="562"/>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二、商务要求</w:t>
      </w:r>
      <w:r/>
    </w:p>
    <w:p>
      <w:pPr>
        <w:ind w:firstLine="562"/>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1．交付（实施）的时间（期限）和地点（范围）：</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服务期限：合同签订之日起</w:t>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0日内完成规划、设计、调试及平台投入运行，并经采购人验收合格。（具体以甲方要求为准）。 </w:t>
      </w:r>
      <w:r/>
    </w:p>
    <w:p>
      <w:pPr>
        <w:ind w:firstLine="56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地点（范围）：常州市金坛区</w:t>
      </w:r>
      <w:r/>
    </w:p>
    <w:p>
      <w:pPr>
        <w:numPr>
          <w:ilvl w:val="0"/>
          <w:numId w:val="22"/>
        </w:num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付款条件（进度和方式）</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(1)合同签订后预付合同金额的30%</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14:textFill>
            <w14:solidFill>
              <w14:schemeClr w14:val="tx1"/>
            </w14:solidFill>
          </w14:textFill>
        </w:rPr>
        <w:t xml:space="preserve">。</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(2)乙方向甲方交付全部资源后，甲方组织验收，验收合格后支付合同金额 65%(无息)；如果验收不合格，甲方暂不支付该款项，待乙方根据甲方修改意见修改，验收合格后，再进行支付。</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(3)尾款5%(无息)在项目正常运行满1年后支付。</w:t>
      </w:r>
      <w:r/>
    </w:p>
    <w:p>
      <w:pPr>
        <w:ind w:left="420"/>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注：各支付节点支付项目款时需同时提供等额的增值税专用发票（发票需符合国家税务总局的相关要求，发票税点符合税法相关要求）。</w:t>
      </w:r>
      <w:r/>
    </w:p>
    <w:p>
      <w:pPr>
        <w:numPr>
          <w:ilvl w:val="0"/>
          <w:numId w:val="23"/>
        </w:num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服务内容及要求</w:t>
      </w:r>
      <w:r/>
    </w:p>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（一）具体实施内容：</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本次项目基于医院现有信息化建设基础和实际业务需求，结合医院信息化建设整体规划方案，对现有业务系统及数据库进行统一重新设计、规划、部署与优化，通过资源扩容提升系统性能与现有 IT 资源利旧相结合的方式，完成核心业务运行环境的升级与重新集成部署，核心实现版本升级、实例拆分、读写分离、秒级容灾、业务路径改造等系统架构及运维管理优化目标，具体建设内容如下：</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1）升级数据库、操作系统版本，修复高危漏洞，保证业务安全性；</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2）拆分数据库实例，单独部署，提升数据库性能；</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3）核心业务HIS/CIS/LIS/RIS通过数据库HA负载均衡软件读写分离：核心业务读写分离要求，根据核心业务特点及前端应用逻辑框架，对核心应用的数据库进行优化改造，满足HIS/CIS/LIS/RIS读写分离、异步的部署要求，减轻HIS生产库压力，提高生产库性能和稳定性，解决系统由于数据抽取导致的卡慢问题；</w:t>
      </w:r>
      <w:r/>
    </w:p>
    <w:p>
      <w:pPr>
        <w:ind w:left="1135"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4）秒级容灾：数据至少2份冗余，只读副本与生产主副本完全一致，数据秒级同步，保证秒级容灾且可实时查看容灾数据的可用性，保证容灾数据可用。</w:t>
      </w:r>
      <w:r/>
    </w:p>
    <w:p>
      <w:pPr>
        <w:ind w:left="1135" w:firstLine="480"/>
        <w:spacing w:line="360" w:lineRule="auto"/>
        <w:tabs>
          <w:tab w:val="left" w:pos="1080" w:leader="none"/>
          <w:tab w:val="left" w:pos="1589" w:leader="none"/>
          <w:tab w:val="left" w:pos="2035" w:leader="none"/>
        </w:tabs>
        <w:rPr>
          <w:rFonts w:hint="eastAsia" w:eastAsia="宋体"/>
          <w:sz w:val="24"/>
          <w:highlight w:val="none"/>
          <w:lang w:eastAsia="zh-CN"/>
        </w:rPr>
      </w:pPr>
      <w:r>
        <w:rPr>
          <w:rFonts w:hint="eastAsia"/>
          <w:sz w:val="24"/>
          <w:highlight w:val="none"/>
        </w:rPr>
        <w:t xml:space="preserve">5）业务改造：完成查询、抽取业务的路径改造，提升生产库的性能，提高业务处理的高效性</w:t>
      </w:r>
      <w:r>
        <w:rPr>
          <w:rFonts w:hint="eastAsia"/>
          <w:sz w:val="24"/>
          <w:highlight w:val="none"/>
          <w:lang w:eastAsia="zh-CN"/>
        </w:rPr>
        <w:t xml:space="preserve">。</w:t>
      </w:r>
      <w:r/>
    </w:p>
    <w:p>
      <w:pPr>
        <w:ind w:firstLine="562"/>
        <w:spacing w:line="360" w:lineRule="auto"/>
        <w:tabs>
          <w:tab w:val="left" w:pos="1080" w:leader="none"/>
          <w:tab w:val="left" w:pos="1589" w:leader="none"/>
          <w:tab w:val="left" w:pos="2035" w:leader="none"/>
        </w:tabs>
        <w:rPr>
          <w:rFonts w:hint="eastAsia" w:eastAsia="宋体"/>
          <w:color w:val="0000ff"/>
          <w:sz w:val="24"/>
          <w:highlight w:val="none"/>
          <w:lang w:val="en-US" w:eastAsia="zh-CN"/>
        </w:rPr>
      </w:pPr>
      <w:r>
        <w:rPr>
          <w:rFonts w:hint="eastAsia" w:ascii="宋体" w:hAnsi="宋体" w:cs="宋体"/>
          <w:b/>
          <w:color w:val="0000ff"/>
          <w:sz w:val="28"/>
          <w:szCs w:val="28"/>
          <w:highlight w:val="none"/>
          <w:lang w:val="en-US" w:eastAsia="zh-CN"/>
        </w:rPr>
        <w:t xml:space="preserve">（二）项目</w:t>
      </w:r>
      <w:r>
        <w:rPr>
          <w:rFonts w:hint="eastAsia" w:ascii="宋体" w:hAnsi="宋体" w:cs="宋体"/>
          <w:b/>
          <w:color w:val="0000ff"/>
          <w:sz w:val="28"/>
          <w:szCs w:val="28"/>
          <w:highlight w:val="none"/>
        </w:rPr>
        <w:t xml:space="preserve">要求</w:t>
      </w:r>
      <w:r>
        <w:rPr>
          <w:rFonts w:hint="eastAsia" w:ascii="宋体" w:hAnsi="宋体" w:cs="宋体"/>
          <w:b/>
          <w:color w:val="0000ff"/>
          <w:sz w:val="28"/>
          <w:szCs w:val="28"/>
          <w:highlight w:val="none"/>
          <w:lang w:eastAsia="zh-CN"/>
        </w:rPr>
        <w:t xml:space="preserve">：</w:t>
      </w:r>
      <w:r/>
    </w:p>
    <w:p>
      <w:pPr>
        <w:ind w:firstLine="1200"/>
        <w:spacing w:line="360" w:lineRule="auto"/>
        <w:tabs>
          <w:tab w:val="left" w:pos="1080" w:leader="none"/>
          <w:tab w:val="left" w:pos="1589" w:leader="none"/>
          <w:tab w:val="left" w:pos="2035" w:leader="none"/>
        </w:tabs>
        <w:rPr>
          <w:rFonts w:hint="eastAsia"/>
          <w:color w:val="0000ff"/>
          <w:sz w:val="24"/>
          <w:highlight w:val="none"/>
        </w:rPr>
      </w:pPr>
      <w:r>
        <w:rPr>
          <w:rFonts w:hint="eastAsia" w:ascii="Times New Roman" w:hAnsi="Times New Roman" w:eastAsia="宋体" w:cs="Times New Roman"/>
          <w:color w:val="0000ff"/>
          <w:sz w:val="24"/>
          <w:szCs w:val="24"/>
          <w:highlight w:val="none"/>
          <w:lang w:val="en-US" w:eastAsia="zh-CN" w:bidi="ar-SA"/>
        </w:rPr>
        <w:t xml:space="preserve">★</w:t>
      </w:r>
      <w:r>
        <w:rPr>
          <w:rFonts w:hint="eastAsia"/>
          <w:color w:val="0000ff"/>
          <w:sz w:val="24"/>
          <w:highlight w:val="none"/>
          <w:lang w:val="en-US" w:eastAsia="zh-CN"/>
        </w:rPr>
        <w:t xml:space="preserve">因该系统为院内主核心业务系统，为保障业务稳定，供应商自行对院内系统进行勘察，实际中标后无法履约的，招标人可自行解除合同并列入黑名单</w:t>
      </w:r>
      <w:r>
        <w:rPr>
          <w:rFonts w:hint="eastAsia"/>
          <w:color w:val="0000ff"/>
          <w:sz w:val="24"/>
          <w:highlight w:val="none"/>
        </w:rPr>
        <w:t xml:space="preserve">。</w:t>
      </w:r>
      <w:r/>
    </w:p>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四、采购标的对应的中小企业划分标准所属行业一览表</w:t>
      </w:r>
      <w:r/>
    </w:p>
    <w:tbl>
      <w:tblPr>
        <w:tblStyle w:val="1043"/>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val="false"/>
          </w:tcPr>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序号</w:t>
            </w:r>
            <w:r/>
          </w:p>
        </w:tc>
        <w:tc>
          <w:tcPr>
            <w:tcW w:w="4710" w:type="dxa"/>
            <w:vAlign w:val="center"/>
            <w:textDirection w:val="lrTb"/>
            <w:noWrap w:val="false"/>
          </w:tcPr>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采购标的</w:t>
            </w:r>
            <w:r/>
          </w:p>
        </w:tc>
        <w:tc>
          <w:tcPr>
            <w:tcW w:w="4358" w:type="dxa"/>
            <w:vAlign w:val="center"/>
            <w:textDirection w:val="lrTb"/>
            <w:noWrap w:val="false"/>
          </w:tcPr>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对应中小企业划分标准所属行业</w:t>
            </w:r>
            <w:r/>
          </w:p>
        </w:tc>
      </w:tr>
      <w:tr>
        <w:trPr>
          <w:cantSplit/>
          <w:jc w:val="center"/>
          <w:trHeight w:val="567"/>
        </w:trPr>
        <w:tc>
          <w:tcPr>
            <w:tcW w:w="985"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471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主业务系统硬件扩容及数据库迁移</w:t>
            </w:r>
            <w:r/>
          </w:p>
        </w:tc>
        <w:tc>
          <w:tcPr>
            <w:tcW w:w="4358"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其他未列明行业</w:t>
            </w:r>
            <w:r/>
          </w:p>
        </w:tc>
      </w:tr>
    </w:tbl>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五、实质性响应</w:t>
      </w:r>
      <w:r/>
    </w:p>
    <w:tbl>
      <w:tblPr>
        <w:tblStyle w:val="104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9107"/>
      </w:tblGrid>
      <w:tr>
        <w:trPr/>
        <w:tc>
          <w:tcPr>
            <w:tcW w:w="425" w:type="pct"/>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序号</w:t>
            </w:r>
            <w:r/>
          </w:p>
        </w:tc>
        <w:tc>
          <w:tcPr>
            <w:tcW w:w="4574" w:type="pct"/>
            <w:vAlign w:val="center"/>
            <w:textDirection w:val="lrTb"/>
            <w:noWrap w:val="false"/>
          </w:tcPr>
          <w:p>
            <w:pPr>
              <w:jc w:val="center"/>
              <w:rPr>
                <w:rFonts w:hint="eastAsia" w:ascii="宋体" w:hAnsi="宋体" w:cs="宋体"/>
                <w:sz w:val="28"/>
                <w:szCs w:val="28"/>
                <w:highlight w:val="none"/>
              </w:rPr>
            </w:pPr>
            <w:r>
              <w:rPr>
                <w:rFonts w:hint="eastAsia" w:ascii="宋体" w:hAnsi="宋体" w:cs="宋体"/>
                <w:sz w:val="28"/>
                <w:szCs w:val="28"/>
                <w:highlight w:val="none"/>
              </w:rPr>
              <w:t xml:space="preserve">实质性条款具体内容</w:t>
            </w:r>
            <w:r/>
          </w:p>
        </w:tc>
      </w:tr>
      <w:tr>
        <w:trPr>
          <w:trHeight w:val="611"/>
        </w:trPr>
        <w:tc>
          <w:tcPr>
            <w:tcW w:w="425" w:type="pct"/>
            <w:vAlign w:val="center"/>
            <w:textDirection w:val="lrTb"/>
            <w:noWrap w:val="false"/>
          </w:tcPr>
          <w:p>
            <w:pPr>
              <w:jc w:val="center"/>
              <w:rPr>
                <w:rFonts w:hint="eastAsia" w:ascii="宋体" w:hAnsi="宋体" w:cs="宋体"/>
                <w:sz w:val="28"/>
                <w:szCs w:val="28"/>
                <w:highlight w:val="none"/>
              </w:rPr>
            </w:pPr>
            <w:r>
              <w:rPr>
                <w:rFonts w:hint="eastAsia" w:ascii="宋体" w:hAnsi="宋体" w:cs="宋体"/>
                <w:bCs/>
                <w:sz w:val="28"/>
                <w:szCs w:val="28"/>
                <w:highlight w:val="none"/>
              </w:rPr>
              <w:t xml:space="preserve">1</w:t>
            </w:r>
            <w:r/>
          </w:p>
        </w:tc>
        <w:tc>
          <w:tcPr>
            <w:tcW w:w="4574" w:type="pct"/>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rPr>
              <w:t xml:space="preserve">满足采购需求加</w:t>
            </w:r>
            <w:r>
              <w:rPr>
                <w:rFonts w:hint="eastAsia" w:ascii="宋体" w:hAnsi="宋体" w:cs="宋体"/>
                <w:color w:val="0000ff"/>
                <w:sz w:val="28"/>
                <w:szCs w:val="28"/>
                <w:highlight w:val="none"/>
              </w:rPr>
              <w:t xml:space="preserve">★</w:t>
            </w:r>
            <w:r>
              <w:rPr>
                <w:rFonts w:hint="eastAsia" w:ascii="宋体" w:hAnsi="宋体" w:cs="宋体"/>
                <w:sz w:val="28"/>
                <w:szCs w:val="28"/>
                <w:highlight w:val="none"/>
              </w:rPr>
              <w:t xml:space="preserve">项条款内容</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2</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作业、SQL账号同步：支持集群各节点业务作业同步；支持集群各节点SQL登录账号同步。</w:t>
            </w:r>
            <w:r>
              <w:rPr>
                <w:rFonts w:hint="eastAsia" w:ascii="宋体" w:hAnsi="宋体" w:cs="宋体"/>
                <w:color w:val="0000ff"/>
                <w:sz w:val="28"/>
                <w:szCs w:val="28"/>
                <w:highlight w:val="none"/>
              </w:rPr>
              <w:t xml:space="preserve">（提供配置作业、SQL账号同步的功能截图证明文件）</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3</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负载均衡：针对查询操作提供负载均衡能力，将应用程序的查询访问在多个节点间有效的均衡负载。</w:t>
            </w:r>
            <w:r>
              <w:rPr>
                <w:rFonts w:hint="eastAsia" w:ascii="宋体" w:hAnsi="宋体" w:cs="宋体"/>
                <w:color w:val="0000ff"/>
                <w:sz w:val="28"/>
                <w:szCs w:val="28"/>
                <w:highlight w:val="none"/>
              </w:rPr>
              <w:t xml:space="preserve">（提供配置负载均衡的功能截图证明文件）</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4</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读写分离：通过制定策略重定向SQL，支持将报表类及第三访查询接口指派到集群任意节点，降低主库服务器性能压力，透明实现读写分离操作，无需修改应用程序。</w:t>
            </w:r>
            <w:r>
              <w:rPr>
                <w:rFonts w:hint="eastAsia" w:ascii="宋体" w:hAnsi="宋体" w:cs="宋体"/>
                <w:color w:val="0000ff"/>
                <w:sz w:val="28"/>
                <w:szCs w:val="28"/>
                <w:highlight w:val="none"/>
              </w:rPr>
              <w:t xml:space="preserve">（提供配置读写分离的功能截图证明文件）</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5</w:t>
            </w:r>
            <w:r/>
          </w:p>
        </w:tc>
        <w:tc>
          <w:tcPr>
            <w:shd w:val="clear" w:color="auto" w:fill="auto"/>
            <w:tcW w:w="4574" w:type="pct"/>
            <w:vAlign w:val="top"/>
            <w:textDirection w:val="lrTb"/>
            <w:noWrap w:val="false"/>
          </w:tcPr>
          <w:p>
            <w:pPr>
              <w:rPr>
                <w:rFonts w:hint="eastAsia" w:ascii="宋体" w:hAnsi="宋体" w:eastAsia="宋体" w:cs="宋体"/>
                <w:sz w:val="28"/>
                <w:szCs w:val="28"/>
                <w:highlight w:val="none"/>
                <w:lang w:val="en-US" w:eastAsia="zh-CN" w:bidi="ar-SA"/>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自主知识产权：所选产品，应具有该产品的自主知识产权，使用权归属采购人，</w:t>
            </w:r>
            <w:r>
              <w:rPr>
                <w:rFonts w:hint="eastAsia" w:ascii="宋体" w:hAnsi="宋体" w:cs="宋体"/>
                <w:color w:val="0000ff"/>
                <w:sz w:val="28"/>
                <w:szCs w:val="28"/>
                <w:highlight w:val="none"/>
              </w:rPr>
              <w:t xml:space="preserve">需提供软件著作权证书。</w:t>
            </w:r>
            <w:r/>
          </w:p>
        </w:tc>
      </w:tr>
      <w:tr>
        <w:trPr>
          <w:trHeight w:val="611"/>
        </w:trPr>
        <w:tc>
          <w:tcPr>
            <w:tcW w:w="425" w:type="pct"/>
            <w:vAlign w:val="center"/>
            <w:textDirection w:val="lrTb"/>
            <w:noWrap w:val="false"/>
          </w:tcPr>
          <w:p>
            <w:pPr>
              <w:jc w:val="center"/>
              <w:rPr>
                <w:rFonts w:hint="eastAsia" w:ascii="宋体" w:hAnsi="宋体" w:eastAsia="宋体" w:cs="宋体"/>
                <w:bCs/>
                <w:sz w:val="28"/>
                <w:szCs w:val="28"/>
                <w:highlight w:val="none"/>
                <w:lang w:val="en-US" w:eastAsia="zh-CN"/>
              </w:rPr>
            </w:pPr>
            <w:r>
              <w:rPr>
                <w:rFonts w:hint="eastAsia" w:ascii="宋体" w:hAnsi="宋体" w:cs="宋体"/>
                <w:bCs/>
                <w:sz w:val="28"/>
                <w:szCs w:val="28"/>
                <w:highlight w:val="none"/>
                <w:lang w:val="en-US" w:eastAsia="zh-CN"/>
              </w:rPr>
              <w:t xml:space="preserve">6</w:t>
            </w:r>
            <w:r/>
          </w:p>
        </w:tc>
        <w:tc>
          <w:tcPr>
            <w:shd w:val="clear" w:color="auto" w:fill="auto"/>
            <w:tcW w:w="4574" w:type="pct"/>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为保障系统及对应数据库和前台程序能完整快速的迁移到服务器中，需协调软件服务商技术支持人员提供现场技术保障（费用由供应商自行承担），整个切换过程数据 0 丢失，用时不超过15分钟；</w:t>
            </w:r>
            <w:r/>
          </w:p>
          <w:p>
            <w:pPr>
              <w:rPr>
                <w:rFonts w:hint="eastAsia" w:ascii="宋体" w:hAnsi="宋体" w:eastAsia="宋体" w:cs="宋体"/>
                <w:sz w:val="28"/>
                <w:szCs w:val="28"/>
                <w:highlight w:val="none"/>
                <w:lang w:val="en-US" w:eastAsia="zh-CN" w:bidi="ar-SA"/>
              </w:rPr>
            </w:pPr>
            <w:r>
              <w:rPr>
                <w:rFonts w:hint="eastAsia" w:ascii="宋体" w:hAnsi="宋体" w:cs="宋体"/>
                <w:color w:val="0000ff"/>
                <w:sz w:val="28"/>
                <w:szCs w:val="28"/>
                <w:highlight w:val="none"/>
              </w:rPr>
              <w:t xml:space="preserve">（供应商提供承诺函满足上述技术规格要求，格式自拟）</w:t>
            </w:r>
            <w:r/>
          </w:p>
        </w:tc>
      </w:tr>
    </w:tbl>
    <w:p>
      <w:pPr>
        <w:ind w:left="420"/>
        <w:spacing w:line="360" w:lineRule="auto"/>
        <w:rPr>
          <w:rFonts w:hint="eastAsia" w:ascii="宋体" w:hAnsi="宋体" w:cs="宋体"/>
          <w:b/>
          <w:color w:val="000000"/>
          <w:sz w:val="28"/>
          <w:szCs w:val="28"/>
          <w:highlight w:val="none"/>
        </w:rPr>
      </w:pPr>
      <w:r>
        <w:rPr>
          <w:rFonts w:hint="eastAsia" w:ascii="宋体" w:hAnsi="宋体" w:cs="宋体"/>
          <w:b/>
          <w:bCs/>
          <w:color w:val="ff0000"/>
          <w:sz w:val="28"/>
          <w:szCs w:val="28"/>
          <w:highlight w:val="none"/>
        </w:rPr>
        <w:t xml:space="preserve">注：实质性服务条款（以★号标注）为实质性要求（即投标无效条款），上表所列内容为不可负偏离条款，负偏离将视为未实质性满足招标文件要求作投标无效处理。</w:t>
      </w:r>
      <w:r/>
    </w:p>
    <w:p>
      <w:pPr>
        <w:ind w:firstLine="562"/>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sz w:val="28"/>
          <w:szCs w:val="28"/>
          <w:highlight w:val="none"/>
        </w:rPr>
        <w:t xml:space="preserve">六、服务类</w:t>
      </w:r>
      <w:r>
        <w:rPr>
          <w:rFonts w:hint="eastAsia" w:ascii="宋体" w:hAnsi="宋体" w:cs="宋体"/>
          <w:b/>
          <w:color w:val="000000" w:themeColor="text1"/>
          <w:sz w:val="28"/>
          <w:szCs w:val="28"/>
          <w:highlight w:val="none"/>
          <w14:textFill>
            <w14:solidFill>
              <w14:schemeClr w14:val="tx1"/>
            </w14:solidFill>
          </w14:textFill>
        </w:rPr>
        <w:t xml:space="preserve">清单</w:t>
      </w:r>
      <w:r/>
    </w:p>
    <w:tbl>
      <w:tblPr>
        <w:tblStyle w:val="10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2634"/>
        <w:gridCol w:w="2348"/>
        <w:gridCol w:w="2491"/>
      </w:tblGrid>
      <w:tr>
        <w:trPr/>
        <w:tc>
          <w:tcPr>
            <w:tcW w:w="2490" w:type="dxa"/>
            <w:vAlign w:val="center"/>
            <w:textDirection w:val="lrTb"/>
            <w:noWrap w:val="false"/>
          </w:tcPr>
          <w:p>
            <w:pPr>
              <w:jc w:val="center"/>
              <w:spacing w:line="360" w:lineRule="auto"/>
              <w:rPr>
                <w:rFonts w:hint="eastAsia" w:ascii="宋体" w:hAnsi="宋体" w:cs="宋体"/>
                <w:b/>
                <w:sz w:val="28"/>
                <w:szCs w:val="28"/>
                <w:highlight w:val="none"/>
              </w:rPr>
            </w:pPr>
            <w:r>
              <w:rPr>
                <w:rFonts w:hint="eastAsia" w:ascii="宋体" w:hAnsi="宋体" w:cs="宋体"/>
                <w:b/>
                <w:color w:val="000000"/>
                <w:sz w:val="28"/>
                <w:szCs w:val="28"/>
                <w:highlight w:val="none"/>
              </w:rPr>
              <w:t xml:space="preserve">序号</w:t>
            </w:r>
            <w:r/>
          </w:p>
        </w:tc>
        <w:tc>
          <w:tcPr>
            <w:tcW w:w="2634" w:type="dxa"/>
            <w:vAlign w:val="center"/>
            <w:textDirection w:val="lrTb"/>
            <w:noWrap w:val="false"/>
          </w:tcPr>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项目名称</w:t>
            </w:r>
            <w:r/>
          </w:p>
        </w:tc>
        <w:tc>
          <w:tcPr>
            <w:tcW w:w="2348" w:type="dxa"/>
            <w:vAlign w:val="center"/>
            <w:textDirection w:val="lrTb"/>
            <w:noWrap w:val="false"/>
          </w:tcPr>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单位</w:t>
            </w:r>
            <w:r/>
          </w:p>
        </w:tc>
        <w:tc>
          <w:tcPr>
            <w:tcW w:w="2491" w:type="dxa"/>
            <w:vAlign w:val="center"/>
            <w:textDirection w:val="lrTb"/>
            <w:noWrap w:val="false"/>
          </w:tcPr>
          <w:p>
            <w:pPr>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数量</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1</w:t>
            </w:r>
            <w:r/>
          </w:p>
        </w:tc>
        <w:tc>
          <w:tcPr>
            <w:tcW w:w="2634"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sz w:val="24"/>
                <w:highlight w:val="none"/>
              </w:rPr>
              <w:t xml:space="preserve">满足软件部署性能要求</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套</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2</w:t>
            </w:r>
            <w:r/>
          </w:p>
        </w:tc>
        <w:tc>
          <w:tcPr>
            <w:tcW w:w="2634"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数据库负载均衡软件</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套</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3</w:t>
            </w:r>
            <w:r/>
          </w:p>
        </w:tc>
        <w:tc>
          <w:tcPr>
            <w:tcW w:w="2634"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系统集成服务</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p>
        </w:tc>
      </w:tr>
      <w:tr>
        <w:trPr/>
        <w:tc>
          <w:tcPr>
            <w:tcW w:w="2490" w:type="dxa"/>
            <w:vAlign w:val="center"/>
            <w:textDirection w:val="lrTb"/>
            <w:noWrap w:val="false"/>
          </w:tcPr>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4</w:t>
            </w:r>
            <w:r/>
          </w:p>
        </w:tc>
        <w:tc>
          <w:tcPr>
            <w:tcW w:w="2634"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数据库迁移服务</w:t>
            </w:r>
            <w:r/>
          </w:p>
        </w:tc>
        <w:tc>
          <w:tcPr>
            <w:tcW w:w="2348"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项</w:t>
            </w:r>
            <w:r/>
          </w:p>
        </w:tc>
        <w:tc>
          <w:tcPr>
            <w:tcW w:w="2491" w:type="dxa"/>
            <w:vAlign w:val="center"/>
            <w:textDirection w:val="lrTb"/>
            <w:noWrap w:val="false"/>
          </w:tcPr>
          <w:p>
            <w:pPr>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p>
        </w:tc>
      </w:tr>
    </w:tbl>
    <w:p>
      <w:pPr>
        <w:pStyle w:val="1498"/>
        <w:ind w:left="480" w:firstLine="0"/>
        <w:spacing w:line="440" w:lineRule="atLeast"/>
        <w:rPr>
          <w:b/>
          <w:sz w:val="36"/>
          <w:szCs w:val="36"/>
          <w:highlight w:val="none"/>
        </w:rPr>
      </w:pPr>
      <w:r>
        <w:rPr>
          <w:b/>
          <w:sz w:val="36"/>
          <w:szCs w:val="36"/>
          <w:highlight w:val="none"/>
        </w:rPr>
      </w:r>
      <w:r/>
    </w:p>
    <w:p>
      <w:pPr>
        <w:ind w:firstLine="482"/>
        <w:spacing w:line="360" w:lineRule="auto"/>
        <w:rPr>
          <w:rFonts w:hint="eastAsia" w:ascii="宋体" w:hAnsi="宋体" w:cs="宋体"/>
          <w:b/>
          <w:sz w:val="24"/>
          <w:highlight w:val="none"/>
        </w:rPr>
      </w:pPr>
      <w:r>
        <w:rPr>
          <w:rFonts w:hint="eastAsia" w:ascii="宋体" w:hAnsi="宋体" w:cs="宋体"/>
          <w:b/>
          <w:color w:val="000000"/>
          <w:sz w:val="24"/>
          <w:highlight w:val="none"/>
        </w:rPr>
        <w:t xml:space="preserve">5.1</w:t>
      </w:r>
      <w:r>
        <w:rPr>
          <w:rFonts w:hint="eastAsia" w:ascii="宋体" w:hAnsi="宋体" w:cs="宋体"/>
          <w:b/>
          <w:sz w:val="24"/>
          <w:highlight w:val="none"/>
        </w:rPr>
        <w:t xml:space="preserve">满足软件部署性能要求（1套）</w:t>
      </w:r>
      <w:r/>
    </w:p>
    <w:tbl>
      <w:tblPr>
        <w:tblStyle w:val="10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1"/>
        <w:gridCol w:w="8472"/>
      </w:tblGrid>
      <w:tr>
        <w:trPr>
          <w:trHeight w:val="620"/>
        </w:trPr>
        <w:tc>
          <w:tcPr>
            <w:tcW w:w="748" w:type="pct"/>
            <w:vAlign w:val="center"/>
            <w:textDirection w:val="lrTb"/>
            <w:noWrap w:val="false"/>
          </w:tcPr>
          <w:p>
            <w:pPr>
              <w:jc w:val="center"/>
              <w:widowControl/>
              <w:rPr>
                <w:rFonts w:hint="eastAsia" w:ascii="Songti SC" w:hAnsi="Songti SC" w:eastAsia="Songti SC" w:cs="Songti SC"/>
                <w:bCs/>
                <w:sz w:val="24"/>
                <w:highlight w:val="none"/>
              </w:rPr>
            </w:pPr>
            <w:r>
              <w:rPr>
                <w:rFonts w:hint="eastAsia" w:ascii="Songti SC" w:hAnsi="Songti SC" w:eastAsia="Songti SC" w:cs="Songti SC"/>
                <w:bCs/>
                <w:sz w:val="24"/>
                <w:highlight w:val="none"/>
                <w:lang w:bidi="ar"/>
              </w:rPr>
              <w:t xml:space="preserve">类别</w:t>
            </w:r>
            <w:r/>
          </w:p>
        </w:tc>
        <w:tc>
          <w:tcPr>
            <w:tcW w:w="4251" w:type="pct"/>
            <w:vAlign w:val="center"/>
            <w:textDirection w:val="lrTb"/>
            <w:noWrap w:val="false"/>
          </w:tcPr>
          <w:p>
            <w:pPr>
              <w:jc w:val="center"/>
              <w:widowControl/>
              <w:rPr>
                <w:rFonts w:hint="eastAsia" w:ascii="Songti SC" w:hAnsi="Songti SC" w:eastAsia="Songti SC" w:cs="Songti SC"/>
                <w:bCs/>
                <w:sz w:val="24"/>
                <w:highlight w:val="none"/>
              </w:rPr>
            </w:pPr>
            <w:r>
              <w:rPr>
                <w:rFonts w:hint="eastAsia" w:ascii="Songti SC" w:hAnsi="Songti SC" w:eastAsia="Songti SC" w:cs="Songti SC"/>
                <w:bCs/>
                <w:sz w:val="24"/>
                <w:highlight w:val="none"/>
                <w:lang w:bidi="ar"/>
              </w:rPr>
              <w:t xml:space="preserve">资源要求</w:t>
            </w:r>
            <w:r/>
          </w:p>
        </w:tc>
      </w:tr>
      <w:tr>
        <w:trPr>
          <w:trHeight w:val="920"/>
        </w:trPr>
        <w:tc>
          <w:tcPr>
            <w:tcW w:w="748" w:type="pct"/>
            <w:vAlign w:val="center"/>
            <w:textDirection w:val="lrTb"/>
            <w:noWrap w:val="false"/>
          </w:tcPr>
          <w:p>
            <w:pPr>
              <w:jc w:val="center"/>
              <w:widowControl/>
              <w:rPr>
                <w:rFonts w:hint="eastAsia" w:ascii="Songti SC" w:hAnsi="Songti SC" w:eastAsia="Songti SC" w:cs="Songti SC"/>
                <w:sz w:val="24"/>
                <w:highlight w:val="none"/>
                <w:lang w:bidi="ar"/>
              </w:rPr>
            </w:pPr>
            <w:r>
              <w:rPr>
                <w:rFonts w:hint="eastAsia" w:ascii="Songti SC" w:hAnsi="Songti SC" w:eastAsia="Songti SC" w:cs="Songti SC"/>
                <w:sz w:val="24"/>
                <w:highlight w:val="none"/>
                <w:lang w:bidi="ar"/>
              </w:rPr>
              <w:t xml:space="preserve">满足软件部署性能要求</w:t>
            </w:r>
            <w:r/>
          </w:p>
        </w:tc>
        <w:tc>
          <w:tcPr>
            <w:tcW w:w="4251" w:type="pct"/>
            <w:vAlign w:val="center"/>
            <w:textDirection w:val="lrTb"/>
            <w:noWrap w:val="false"/>
          </w:tcPr>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系统须完全部署于院内本地环境，依托现有HIS/CIS</w:t>
            </w:r>
            <w:r>
              <w:rPr>
                <w:rFonts w:hint="eastAsia" w:ascii="Songti SC Regular" w:hAnsi="Songti SC Regular" w:eastAsia="Songti SC Regular" w:cs="Songti SC Regular"/>
                <w:sz w:val="24"/>
                <w:szCs w:val="28"/>
                <w:highlight w:val="none"/>
                <w:lang w:val="en-US" w:eastAsia="zh-CN"/>
              </w:rPr>
              <w:t xml:space="preserve">/Lis</w:t>
            </w:r>
            <w:r>
              <w:rPr>
                <w:rFonts w:hint="eastAsia" w:ascii="Songti SC Regular" w:hAnsi="Songti SC Regular" w:eastAsia="Songti SC Regular" w:cs="Songti SC Regular"/>
                <w:sz w:val="24"/>
                <w:szCs w:val="28"/>
                <w:highlight w:val="none"/>
              </w:rPr>
              <w:t xml:space="preserve">/RIS 系统的服务器资源进行横向或纵向扩容。</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HIS/CIS 集群：</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主节点，采用 “多核 CPU + 大内存 + SSD 存储” 的配置，CPU≥72 核、内存≥512GB、数据盘≥15TB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 </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从节点，采用 “多核 CPU + 大内存 + SSD 存储” 的配置，CPU≥72 核、内存≥512GB、数据盘≥15TB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LIS/RIS集群：</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主节点 ，采用 “多核 CPU + 大内存 + SSD 存储” 的配置，CPU≥48核、内存≥384GB、数据盘≥11.52TB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w:t>
            </w:r>
            <w:r/>
          </w:p>
          <w:p>
            <w:pPr>
              <w:jc w:val="left"/>
              <w:spacing w:line="360" w:lineRule="auto"/>
              <w:widowControl/>
              <w:rPr>
                <w:rFonts w:hint="eastAsia" w:ascii="Songti SC Regular" w:hAnsi="Songti SC Regular" w:eastAsia="Songti SC Regular" w:cs="Songti SC Regular"/>
                <w:sz w:val="24"/>
                <w:szCs w:val="28"/>
                <w:highlight w:val="none"/>
              </w:rPr>
            </w:pPr>
            <w:r>
              <w:rPr>
                <w:rFonts w:hint="eastAsia" w:ascii="Songti SC Regular" w:hAnsi="Songti SC Regular" w:eastAsia="Songti SC Regular" w:cs="Songti SC Regular"/>
                <w:sz w:val="24"/>
                <w:szCs w:val="28"/>
                <w:highlight w:val="none"/>
              </w:rPr>
              <w:t xml:space="preserve">从节点 ，采用 “多核 CPU + 大内存 + SSD 存储” 的配置，CPU≥48核、内存≥384GB、数据盘≥11.52TB SSD，</w:t>
            </w:r>
            <w:r>
              <w:rPr>
                <w:rFonts w:hint="eastAsia" w:ascii="Songti SC Regular" w:hAnsi="Songti SC Regular" w:eastAsia="Songti SC Regular" w:cs="Songti SC Regular"/>
                <w:sz w:val="24"/>
                <w:szCs w:val="28"/>
                <w:highlight w:val="none"/>
                <w:lang w:eastAsia="zh-CN"/>
              </w:rPr>
              <w:t xml:space="preserve">6年</w:t>
            </w:r>
            <w:r>
              <w:rPr>
                <w:rFonts w:hint="eastAsia" w:ascii="Songti SC Regular" w:hAnsi="Songti SC Regular" w:eastAsia="Songti SC Regular" w:cs="Songti SC Regular"/>
                <w:sz w:val="24"/>
                <w:szCs w:val="28"/>
                <w:highlight w:val="none"/>
                <w:lang w:val="en-US" w:eastAsia="zh-CN"/>
              </w:rPr>
              <w:t xml:space="preserve">免费</w:t>
            </w:r>
            <w:r>
              <w:rPr>
                <w:rFonts w:hint="eastAsia" w:ascii="Songti SC Regular" w:hAnsi="Songti SC Regular" w:eastAsia="Songti SC Regular" w:cs="Songti SC Regular"/>
                <w:sz w:val="24"/>
                <w:szCs w:val="28"/>
                <w:highlight w:val="none"/>
              </w:rPr>
              <w:t xml:space="preserve">服务；</w:t>
            </w:r>
            <w:r/>
          </w:p>
        </w:tc>
      </w:tr>
    </w:tbl>
    <w:p>
      <w:pPr>
        <w:ind w:firstLine="723"/>
        <w:spacing w:line="360" w:lineRule="auto"/>
        <w:rPr>
          <w:b/>
          <w:sz w:val="36"/>
          <w:szCs w:val="36"/>
          <w:highlight w:val="none"/>
        </w:rPr>
      </w:pPr>
      <w:r>
        <w:rPr>
          <w:b/>
          <w:sz w:val="36"/>
          <w:szCs w:val="36"/>
          <w:highlight w:val="none"/>
        </w:rPr>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5.2 数据库负载均衡软件（2套）</w:t>
      </w:r>
      <w:r/>
    </w:p>
    <w:p>
      <w:pPr>
        <w:pStyle w:val="1498"/>
        <w:ind w:left="357" w:firstLine="0"/>
        <w:spacing w:line="440" w:lineRule="atLeas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47"/>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系统要求：采购人现在使用的微软SQL Server开发的数据库，所选数据库平台软件与SQL Server无缝对接；在结构上，只需两（多）台能运行SQL Server数据库即可组建。</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高可用性：采用多种故障监控机制实时监测系统的软硬件健康状况，若某节点发生故障，故障节点脱机，同时该节点虚拟IP会立即漂移到其余健康的节点来响应连接请求，保证业务不中断。</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易用性：要求数据库平台软件简单易用、对应用完全透明，不会对现有的数据库及应用程序进行修改，不改变用户的使用习惯。</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故障告警：同时提供多种故障通知机制，如手机短信、邮件通知等。</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数据安全性：采用非共享存储架构设计，数据可以存放在每台机器自己的存储介质中，避免硬件单点故障，保证数据至少两份及数据安全。</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数据同步方式：支持数据实时同步与异步同步两种模式。</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链接服务器同步：要求支持链接服务器的新增、修改、删除等操作的同步。</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可靠性：服务器群组中任何一台服务器故障不影响业务正常使用，节点修复后可以自动加入群组中继续工作。</w:t>
      </w:r>
      <w:r/>
    </w:p>
    <w:p>
      <w:pPr>
        <w:pStyle w:val="1047"/>
        <w:ind w:firstLine="594"/>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sz w:val="24"/>
          <w:szCs w:val="24"/>
          <w:highlight w:val="none"/>
        </w:rPr>
        <w:t xml:space="preserve">作业、SQL账号同步：支持集群各节点业务作业同步；支持集群各节点SQL登录账号同步。</w:t>
      </w:r>
      <w:r>
        <w:rPr>
          <w:rFonts w:hint="eastAsia" w:ascii="宋体" w:hAnsi="宋体" w:eastAsia="宋体" w:cs="宋体"/>
          <w:b/>
          <w:bCs/>
          <w:sz w:val="24"/>
          <w:szCs w:val="24"/>
          <w:highlight w:val="none"/>
        </w:rPr>
        <w:t xml:space="preserve">（提供配置作业、SQL账号同步的功能截图证明文件）</w:t>
      </w:r>
      <w:r/>
    </w:p>
    <w:p>
      <w:pPr>
        <w:pStyle w:val="1047"/>
        <w:ind w:firstLine="594"/>
        <w:spacing w:line="360" w:lineRule="auto"/>
        <w:rPr>
          <w:rFonts w:hint="eastAsia" w:ascii="宋体" w:hAnsi="宋体" w:eastAsia="宋体" w:cs="宋体"/>
          <w:b/>
          <w:bCs/>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sz w:val="24"/>
          <w:szCs w:val="24"/>
          <w:highlight w:val="none"/>
        </w:rPr>
        <w:t xml:space="preserve">负载均衡：针对查询操作提供负载均衡能力，将应用程序的查询访问在多个节点间有效的均衡负载。</w:t>
      </w:r>
      <w:r>
        <w:rPr>
          <w:rFonts w:hint="eastAsia" w:ascii="宋体" w:hAnsi="宋体" w:eastAsia="宋体" w:cs="宋体"/>
          <w:b/>
          <w:bCs/>
          <w:sz w:val="24"/>
          <w:szCs w:val="24"/>
          <w:highlight w:val="none"/>
        </w:rPr>
        <w:t xml:space="preserve">（提供配置负载均衡的功能截图证明文件）</w:t>
      </w:r>
      <w:r/>
    </w:p>
    <w:p>
      <w:pPr>
        <w:pStyle w:val="1047"/>
        <w:ind w:firstLine="594"/>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sz w:val="24"/>
          <w:szCs w:val="24"/>
          <w:highlight w:val="none"/>
        </w:rPr>
        <w:t xml:space="preserve">读写分离：通过制定策略重定向SQL，支持将报表类及第三访查询接口指派到集群任意节点，降低主库服务器性能压力，透明实现读写分离操作，无需修改应用程序。</w:t>
      </w:r>
      <w:r>
        <w:rPr>
          <w:rFonts w:hint="eastAsia" w:ascii="宋体" w:hAnsi="宋体" w:eastAsia="宋体" w:cs="宋体"/>
          <w:b/>
          <w:bCs/>
          <w:sz w:val="24"/>
          <w:szCs w:val="24"/>
          <w:highlight w:val="none"/>
        </w:rPr>
        <w:t xml:space="preserve">（提供配置读写分离的功能截图证明文件）</w:t>
      </w:r>
      <w:r/>
    </w:p>
    <w:p>
      <w:pPr>
        <w:pStyle w:val="1047"/>
        <w:ind w:firstLine="480"/>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4"/>
          <w:highlight w:val="none"/>
        </w:rPr>
        <w:t xml:space="preserve">弹性扩展：可以通过增加服务器的数量来增加数据库的处理能力，最多支持8节点，实现简单扩展，提高设备利用率。配置透明：要求对应用程序完全透明，提供唯一的IP地址及端口供应用程序访问。图形化管理：具有图形化的管理工具，可以轻松的实现数据同步、节点扩展、负载设置、日志记录、邮件通知以及更加及时的短信通知等操作。</w:t>
      </w:r>
      <w:r/>
    </w:p>
    <w:p>
      <w:pPr>
        <w:pStyle w:val="1047"/>
        <w:ind w:firstLine="594"/>
        <w:spacing w:line="360" w:lineRule="auto"/>
        <w:rPr>
          <w:rFonts w:hint="eastAsia" w:ascii="宋体" w:hAnsi="宋体" w:eastAsia="宋体" w:cs="宋体"/>
          <w:sz w:val="24"/>
          <w:szCs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color w:val="0000ff"/>
          <w:spacing w:val="8"/>
          <w:szCs w:val="28"/>
          <w:highlight w:val="none"/>
          <w:lang w:val="zh-TW"/>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自主知识产权：所选产品，应具有该产品的自主知识产权，使用权归属采购人，</w:t>
      </w:r>
      <w:r>
        <w:rPr>
          <w:rFonts w:hint="eastAsia" w:ascii="宋体" w:hAnsi="宋体" w:eastAsia="宋体" w:cs="宋体"/>
          <w:b/>
          <w:bCs/>
          <w:color w:val="000000" w:themeColor="text1"/>
          <w:sz w:val="24"/>
          <w:szCs w:val="24"/>
          <w:highlight w:val="none"/>
          <w14:textFill>
            <w14:solidFill>
              <w14:schemeClr w14:val="tx1"/>
            </w14:solidFill>
          </w14:textFill>
        </w:rPr>
        <w:t xml:space="preserve">需提供软件著作权证书。</w:t>
      </w:r>
      <w:r/>
    </w:p>
    <w:p>
      <w:pPr>
        <w:ind w:firstLine="480"/>
        <w:spacing w:line="360" w:lineRule="auto"/>
        <w:rPr>
          <w:highlight w:val="none"/>
        </w:rPr>
        <w:pBdr>
          <w:top w:val="single" w:color="auto" w:sz="4" w:space="0"/>
          <w:left w:val="single" w:color="auto" w:sz="4" w:space="0"/>
          <w:bottom w:val="single" w:color="auto" w:sz="4" w:space="0"/>
          <w:right w:val="single" w:color="auto" w:sz="4" w:space="0"/>
        </w:pBdr>
      </w:pPr>
      <w:r>
        <w:rPr>
          <w:rFonts w:hint="eastAsia" w:ascii="宋体" w:hAnsi="宋体" w:cs="宋体"/>
          <w:sz w:val="24"/>
          <w:highlight w:val="none"/>
        </w:rPr>
        <w:t xml:space="preserve">服务：提供</w:t>
      </w:r>
      <w:r>
        <w:rPr>
          <w:rFonts w:hint="eastAsia" w:ascii="宋体" w:hAnsi="宋体" w:cs="宋体"/>
          <w:sz w:val="24"/>
          <w:highlight w:val="none"/>
          <w:lang w:eastAsia="zh-CN"/>
        </w:rPr>
        <w:t xml:space="preserve">6年</w:t>
      </w:r>
      <w:r>
        <w:rPr>
          <w:rFonts w:hint="eastAsia" w:ascii="宋体" w:hAnsi="宋体" w:cs="宋体"/>
          <w:sz w:val="24"/>
          <w:highlight w:val="none"/>
        </w:rPr>
        <w:t xml:space="preserve">免费远程服务，发生重大故障时、快速优先响应，由经验丰富的技术工程师进行远程紧急故障处理。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5.3 系统集成服务（1项）</w:t>
      </w:r>
      <w:r/>
    </w:p>
    <w:tbl>
      <w:tblPr>
        <w:tblStyle w:val="10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5"/>
        <w:gridCol w:w="7658"/>
      </w:tblGrid>
      <w:tr>
        <w:trPr>
          <w:trHeight w:val="796"/>
        </w:trPr>
        <w:tc>
          <w:tcPr>
            <w:tcW w:w="1826" w:type="dxa"/>
            <w:vAlign w:val="center"/>
            <w:textDirection w:val="lrTb"/>
            <w:noWrap w:val="false"/>
          </w:tcPr>
          <w:p>
            <w:pPr>
              <w:jc w:val="center"/>
              <w:spacing w:before="120" w:after="120" w:line="480" w:lineRule="exact"/>
              <w:rPr>
                <w:rFonts w:hint="eastAsia" w:ascii="宋体" w:hAnsi="宋体" w:cs="宋体"/>
                <w:sz w:val="24"/>
                <w:highlight w:val="none"/>
                <w:lang w:bidi="ar"/>
              </w:rPr>
            </w:pPr>
            <w:r>
              <w:rPr>
                <w:rFonts w:hint="eastAsia" w:ascii="宋体" w:hAnsi="宋体" w:cs="宋体"/>
                <w:sz w:val="24"/>
                <w:highlight w:val="none"/>
              </w:rPr>
              <w:t xml:space="preserve">指标项</w:t>
            </w:r>
            <w:r/>
          </w:p>
        </w:tc>
        <w:tc>
          <w:tcPr>
            <w:tcW w:w="6696" w:type="dxa"/>
            <w:vAlign w:val="center"/>
            <w:textDirection w:val="lrTb"/>
            <w:noWrap w:val="false"/>
          </w:tcPr>
          <w:p>
            <w:pPr>
              <w:jc w:val="center"/>
              <w:spacing w:before="120" w:after="120" w:line="480" w:lineRule="exact"/>
              <w:rPr>
                <w:rFonts w:hint="eastAsia" w:ascii="宋体" w:hAnsi="宋体" w:cs="宋体"/>
                <w:sz w:val="24"/>
                <w:highlight w:val="none"/>
                <w:lang w:bidi="ar"/>
              </w:rPr>
            </w:pPr>
            <w:r>
              <w:rPr>
                <w:rFonts w:hint="eastAsia" w:ascii="宋体" w:hAnsi="宋体" w:cs="宋体"/>
                <w:sz w:val="24"/>
                <w:highlight w:val="none"/>
              </w:rPr>
              <w:t xml:space="preserve">技术规格要求</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lang w:bidi="ar"/>
              </w:rPr>
              <w:t xml:space="preserve">服务方案设计要求</w:t>
            </w:r>
            <w:r/>
          </w:p>
        </w:tc>
        <w:tc>
          <w:tcPr>
            <w:tcW w:w="6696" w:type="dxa"/>
            <w:vAlign w:val="center"/>
            <w:textDirection w:val="lrTb"/>
            <w:noWrap w:val="false"/>
          </w:tcPr>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本次项目涉及医院关键业务系统HIS/CIS/LIS/RIS核心数据库，要求：</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需要充分理解医院业务软件架构</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业务部署架构设计规划；</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业务主机资源设计，计算资源、存储资源、主机类型、数量、部署模式；</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核心数据库部署架构设计，双活模式、主备模式、多副本模式；</w:t>
            </w:r>
            <w:r/>
          </w:p>
          <w:p>
            <w:pPr>
              <w:numPr>
                <w:ilvl w:val="0"/>
                <w:numId w:val="24"/>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核心数据库备份容灾设计；</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项目服务整体要求</w:t>
            </w:r>
            <w:r/>
          </w:p>
        </w:tc>
        <w:tc>
          <w:tcPr>
            <w:tcW w:w="6696" w:type="dxa"/>
            <w:vAlign w:val="center"/>
            <w:textDirection w:val="lrTb"/>
            <w:noWrap w:val="false"/>
          </w:tcPr>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提供项目章程，责任矩阵、沟通计划、需求清单、问题协调；</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提供项目团队管理，客户、项目团队、干系人等；</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通过项目进度管控，进度计划、资源分配、识别风险并制定应对策略；</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通过项目变更管控，评估变更影响并决策、变更请求表、审批结果；</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通过项目验收报告，整理验收材料、内部审核材料；</w:t>
            </w:r>
            <w:r/>
          </w:p>
          <w:p>
            <w:pPr>
              <w:numPr>
                <w:ilvl w:val="0"/>
                <w:numId w:val="25"/>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提供项目培训服务；</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HIS/CIS/LIS/RIS操作系统升级要求</w:t>
            </w:r>
            <w:r/>
          </w:p>
        </w:tc>
        <w:tc>
          <w:tcPr>
            <w:tcW w:w="6696" w:type="dxa"/>
            <w:vAlign w:val="center"/>
            <w:textDirection w:val="lrTb"/>
            <w:noWrap w:val="false"/>
          </w:tcPr>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业务应用程序VM虚拟机操作系统升级安装；</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业务数据库物理机操作系统升级安装；</w:t>
            </w:r>
            <w:r/>
          </w:p>
          <w:p>
            <w:pPr>
              <w:numPr>
                <w:ilvl w:val="0"/>
                <w:numId w:val="2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测试环境操作系统安装；</w:t>
            </w:r>
            <w:r/>
          </w:p>
          <w:p>
            <w:pPr>
              <w:numPr>
                <w:ilvl w:val="0"/>
                <w:numId w:val="24"/>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操作系统补丁更新至最新版；</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HIS/CIS/LIS/RIS数据库升级要求</w:t>
            </w:r>
            <w:r/>
          </w:p>
        </w:tc>
        <w:tc>
          <w:tcPr>
            <w:tcW w:w="6696" w:type="dxa"/>
            <w:vAlign w:val="center"/>
            <w:textDirection w:val="lrTb"/>
            <w:noWrap w:val="false"/>
          </w:tcPr>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生产环境数据库软件安装；</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灾备环境数据库软件安装；</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测试环境数据库软件安装；</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涉及改造数据库内部的JOB、DBlink等；</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程序适配测试，包括功能适配、接口适配；</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调优设置，对整个数据库进行数据完整性优化，重建索引优化等；</w:t>
            </w:r>
            <w:r/>
          </w:p>
          <w:p>
            <w:pPr>
              <w:numPr>
                <w:ilvl w:val="0"/>
                <w:numId w:val="2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数据库软件补丁更新至最新版；</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核心数据库集群部署要求</w:t>
            </w:r>
            <w:r/>
          </w:p>
        </w:tc>
        <w:tc>
          <w:tcPr>
            <w:tcW w:w="6696" w:type="dxa"/>
            <w:vAlign w:val="center"/>
            <w:textDirection w:val="lrTb"/>
            <w:noWrap w:val="false"/>
          </w:tcPr>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集群模式策略，本地、跨机房；</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数据库同步策略配置；</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HA负载策略配置；</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实例名、VIP、多路径等集群信息配置；</w:t>
            </w:r>
            <w:r/>
          </w:p>
          <w:p>
            <w:pPr>
              <w:numPr>
                <w:ilvl w:val="0"/>
                <w:numId w:val="27"/>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容量策略，DATA容量、LOG容量及相应的存储策略；</w:t>
            </w:r>
            <w:r/>
          </w:p>
          <w:p>
            <w:pPr>
              <w:numPr>
                <w:ilvl w:val="0"/>
                <w:numId w:val="27"/>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集群验证IO性能测试、HA切换验证、负载均衡功能验证、数据访问并发压力验证；</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核心数据库集群有效性验证要求</w:t>
            </w:r>
            <w:r/>
          </w:p>
          <w:p>
            <w:pPr>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W w:w="6696" w:type="dxa"/>
            <w:vAlign w:val="center"/>
            <w:textDirection w:val="lrTb"/>
            <w:noWrap w:val="false"/>
          </w:tcPr>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IO性能测试；</w:t>
            </w:r>
            <w:r/>
          </w:p>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HA切换验证；</w:t>
            </w:r>
            <w:r/>
          </w:p>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负载均衡功能验证；</w:t>
            </w:r>
            <w:r/>
          </w:p>
          <w:p>
            <w:pPr>
              <w:numPr>
                <w:ilvl w:val="0"/>
                <w:numId w:val="28"/>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数据访问并发压力测试；</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操作系统数据库安全策略部署要求</w:t>
            </w:r>
            <w:r/>
          </w:p>
        </w:tc>
        <w:tc>
          <w:tcPr>
            <w:tcW w:w="6696" w:type="dxa"/>
            <w:vAlign w:val="center"/>
            <w:textDirection w:val="lrTb"/>
            <w:noWrap w:val="false"/>
          </w:tcPr>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OS/DB User业务权限分级策略；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密码复杂度策略；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审计策略；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业务端口策略；</w:t>
            </w:r>
            <w:r/>
          </w:p>
          <w:p>
            <w:pPr>
              <w:numPr>
                <w:ilvl w:val="0"/>
                <w:numId w:val="29"/>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SP更新策略；</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数据库优化调试要求</w:t>
            </w:r>
            <w:r/>
          </w:p>
        </w:tc>
        <w:tc>
          <w:tcPr>
            <w:tcW w:w="6696" w:type="dxa"/>
            <w:vAlign w:val="center"/>
            <w:textDirection w:val="lrTb"/>
            <w:noWrap w:val="false"/>
          </w:tcPr>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性能基线采集建档；</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关键数据库捕获高负载SQL清单（逻辑读、执行时间）；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资源瓶颈分析，存储I/O、CPU、内存、网络，并做出负荷分析报告；</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根据用户的点检情况和主机系统的性能报告对主机系统参数、磁盘空间进行调整，对系统的性能进行优化</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数据库大小检查及对数据文件和日志文件进行收缩</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检查备份策略的完整性，根据应用变动情况进行调整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进行数据库碎片整理、数据库表空间调整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针对应用软件特点对应用数据库定期优化和性能调整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检查数据库备份程序的完整性，并根据应用变动情况进行调整</w:t>
            </w:r>
            <w:r/>
          </w:p>
          <w:p>
            <w:pPr>
              <w:numPr>
                <w:ilvl w:val="0"/>
                <w:numId w:val="30"/>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检查并分析系统日志及跟踪文件，发现并排除数据库系统错误隐患</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读写分离架构搭建要求</w:t>
            </w:r>
            <w:r/>
          </w:p>
        </w:tc>
        <w:tc>
          <w:tcPr>
            <w:tcW w:w="6696" w:type="dxa"/>
            <w:vAlign w:val="center"/>
            <w:textDirection w:val="lrTb"/>
            <w:noWrap w:val="false"/>
          </w:tcPr>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HIS/CIS/LIS/RIS 实施HA高可用&amp;读写分离架构；</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对访问数据源（数据库）进行整体规划和定义，确定数据源功能、承接的业务类型、拆分的规则。依据业务使用情况、消耗、频繁程度等分为划分读写分离库、数据平台功能、抽取规则、业务展现形势等。</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对核心业务系统进行数据梳理，理清运行业务细节操作，避免不合规业务访问。根据业务区分数据源访问，梳理业务数据需要，减少复杂交叉指向，并最优化数据源访问。</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制定访问规划，规范化日常开发、升级、新功能上线等流程，保证系统运行尽在掌握。</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分析各业务库对应的业务、业务访问数据接口链接，输出对应表；</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核心数据库HIS等的ServerLink、Job、业务函数、存储过程改造，并进行适配性、安全性、稳定性测试验证；</w:t>
            </w:r>
            <w:r/>
          </w:p>
          <w:p>
            <w:pPr>
              <w:numPr>
                <w:ilvl w:val="0"/>
                <w:numId w:val="31"/>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业务程序运行性能测试，包括业务稳定性、运行效率等；</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业务读写分离改造要求</w:t>
            </w:r>
            <w:r/>
          </w:p>
        </w:tc>
        <w:tc>
          <w:tcPr>
            <w:tcW w:w="6696" w:type="dxa"/>
            <w:vAlign w:val="center"/>
            <w:textDirection w:val="lrTb"/>
            <w:noWrap w:val="false"/>
          </w:tcPr>
          <w:p>
            <w:pPr>
              <w:numPr>
                <w:ilvl w:val="0"/>
                <w:numId w:val="32"/>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平台业务适配，完成生产库启动CDC，HDW ETL数据抽取改造，由订阅发布改造为AO+CDC副本模式抽取，优化HDW至CDR的数据抽取方式；</w:t>
            </w:r>
            <w:r/>
          </w:p>
          <w:p>
            <w:pPr>
              <w:numPr>
                <w:ilvl w:val="0"/>
                <w:numId w:val="32"/>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完成上级单位数据上传、数据报表、数据接口等业务的分离；</w:t>
            </w:r>
            <w:r/>
          </w:p>
          <w:p>
            <w:pPr>
              <w:numPr>
                <w:ilvl w:val="0"/>
                <w:numId w:val="32"/>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完成三方查询、抽取及系统的数据接口等业务的分离；</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割接与上线保障</w:t>
            </w:r>
            <w:r/>
          </w:p>
        </w:tc>
        <w:tc>
          <w:tcPr>
            <w:tcW w:w="6696" w:type="dxa"/>
            <w:vAlign w:val="center"/>
            <w:textDirection w:val="lrTb"/>
            <w:noWrap w:val="false"/>
          </w:tcPr>
          <w:p>
            <w:pPr>
              <w:numPr>
                <w:ilvl w:val="0"/>
                <w:numId w:val="33"/>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制定详细的集成割接方案与回退预案,方案预演、数据迁移、正式切换，确保系统平稳上线；</w:t>
            </w:r>
            <w:r/>
          </w:p>
          <w:p>
            <w:pPr>
              <w:numPr>
                <w:ilvl w:val="0"/>
                <w:numId w:val="33"/>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为保障核心业务的不间断运行和数据 0 丢失，投标人需协调软件厂商提供技术人员现场保障，若因此产生的费用由投标人自行承担，并承诺在割接与上线过程中核心业务的不间断运行和数据 0 丢失；</w:t>
            </w:r>
            <w:r/>
          </w:p>
          <w:p>
            <w:pPr>
              <w:numPr>
                <w:ilvl w:val="0"/>
                <w:numId w:val="33"/>
              </w:num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割接与上线完成后，提供7×24小时应急响应，保障业务连续不停机与数据安 0丢失；</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数据库容灾环境部署要求</w:t>
            </w:r>
            <w:r/>
          </w:p>
        </w:tc>
        <w:tc>
          <w:tcPr>
            <w:tcW w:w="6696" w:type="dxa"/>
            <w:vAlign w:val="center"/>
            <w:textDirection w:val="lrTb"/>
            <w:noWrap w:val="false"/>
          </w:tcPr>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灾备主机网络配置；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主从策略配置；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数据同步策略配置；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容灾启用策略配置；</w:t>
            </w:r>
            <w:r/>
          </w:p>
          <w:p>
            <w:pPr>
              <w:numPr>
                <w:ilvl w:val="0"/>
                <w:numId w:val="34"/>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容灾切换演练测试；</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备份策略实施要求</w:t>
            </w:r>
            <w:r/>
          </w:p>
        </w:tc>
        <w:tc>
          <w:tcPr>
            <w:tcW w:w="6696" w:type="dxa"/>
            <w:vAlign w:val="center"/>
            <w:textDirection w:val="lrTb"/>
            <w:noWrap w:val="false"/>
          </w:tcPr>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备份策略，根据业务类型、数据库部署模式，实施全量备份/差异备份/差量日志备份，部署备份周期策略；</w:t>
            </w:r>
            <w:r/>
          </w:p>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备份执行监控；</w:t>
            </w:r>
            <w:r/>
          </w:p>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备份数据有效性还原测试；</w:t>
            </w:r>
            <w:r/>
          </w:p>
          <w:p>
            <w:pPr>
              <w:numPr>
                <w:ilvl w:val="0"/>
                <w:numId w:val="35"/>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数据一致性检测；</w:t>
            </w:r>
            <w:r/>
          </w:p>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数据零丢失验证；</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OS/DB层协助测评服务要求</w:t>
            </w:r>
            <w:r/>
          </w:p>
        </w:tc>
        <w:tc>
          <w:tcPr>
            <w:tcW w:w="6696" w:type="dxa"/>
            <w:vAlign w:val="center"/>
            <w:textDirection w:val="lrTb"/>
            <w:noWrap w:val="false"/>
          </w:tcPr>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协助等级保护测评、电子病历测评、互联互通测评相关数据库及操作系统的技术支持；</w:t>
            </w:r>
            <w:r/>
          </w:p>
        </w:tc>
      </w:tr>
      <w:tr>
        <w:trPr>
          <w:trHeight w:val="796"/>
        </w:trPr>
        <w:tc>
          <w:tcPr>
            <w:tcW w:w="1826" w:type="dxa"/>
            <w:vAlign w:val="center"/>
            <w:textDirection w:val="lrTb"/>
            <w:noWrap w:val="false"/>
          </w:tcPr>
          <w:p>
            <w:pPr>
              <w:jc w:val="center"/>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项目文档交付要求</w:t>
            </w:r>
            <w:r/>
          </w:p>
        </w:tc>
        <w:tc>
          <w:tcPr>
            <w:tcW w:w="6696" w:type="dxa"/>
            <w:vAlign w:val="center"/>
            <w:textDirection w:val="lrTb"/>
            <w:noWrap w:val="false"/>
          </w:tcPr>
          <w:p>
            <w:pPr>
              <w:numPr>
                <w:ilvl w:val="0"/>
                <w:numId w:val="3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项目管理文档，《项目启动汇报》、《项目会议纪要》等；</w:t>
            </w:r>
            <w:r/>
          </w:p>
          <w:p>
            <w:pPr>
              <w:numPr>
                <w:ilvl w:val="0"/>
                <w:numId w:val="3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项目实施文档，《项目实施计划》、《项目变更控制单》《进度报告、问题跟踪表》、《上线评估报告》、《系统切换方案》等；</w:t>
            </w:r>
            <w:r/>
          </w:p>
          <w:p>
            <w:pPr>
              <w:numPr>
                <w:ilvl w:val="0"/>
                <w:numId w:val="36"/>
              </w:num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项目验收培训文档，《项目初验申请表》、《项目验收报告》、《项目培训报告》等；</w:t>
            </w:r>
            <w:r/>
          </w:p>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关键技术文档，《集群有效性测试报告》、《容灾切换测试报告》、《性能测试报告》等；</w:t>
            </w:r>
            <w:r/>
          </w:p>
        </w:tc>
      </w:tr>
      <w:tr>
        <w:trPr>
          <w:trHeight w:val="796"/>
        </w:trPr>
        <w:tc>
          <w:tcPr>
            <w:tcW w:w="1826" w:type="dxa"/>
            <w:vAlign w:val="center"/>
            <w:textDirection w:val="lrTb"/>
            <w:noWrap w:val="false"/>
          </w:tcPr>
          <w:p>
            <w:pPr>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服务要求</w:t>
            </w:r>
            <w:r/>
          </w:p>
        </w:tc>
        <w:tc>
          <w:tcPr>
            <w:tcW w:w="6696" w:type="dxa"/>
            <w:vAlign w:val="center"/>
            <w:textDirection w:val="lrTb"/>
            <w:noWrap w:val="false"/>
          </w:tcPr>
          <w:p>
            <w:pPr>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bidi="ar"/>
              </w:rPr>
              <w:t xml:space="preserve">1年集成质保服务</w:t>
            </w:r>
            <w:r/>
          </w:p>
        </w:tc>
      </w:tr>
    </w:tbl>
    <w:p>
      <w:pPr>
        <w:ind w:left="357"/>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5.4 数据库迁移服务（1项）</w:t>
      </w:r>
      <w:r/>
    </w:p>
    <w:tbl>
      <w:tblPr>
        <w:tblStyle w:val="104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8564"/>
      </w:tblGrid>
      <w:tr>
        <w:trPr>
          <w:jc w:val="center"/>
          <w:trHeight w:val="270"/>
        </w:trPr>
        <w:tc>
          <w:tcPr>
            <w:tcW w:w="1531" w:type="pct"/>
            <w:vAlign w:val="center"/>
            <w:textDirection w:val="lrTb"/>
            <w:noWrap/>
          </w:tcPr>
          <w:p>
            <w:pPr>
              <w:jc w:val="cente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指标项</w:t>
            </w:r>
            <w:r/>
          </w:p>
        </w:tc>
        <w:tc>
          <w:tcPr>
            <w:tcW w:w="3468" w:type="pct"/>
            <w:vAlign w:val="center"/>
            <w:textDirection w:val="lrTb"/>
            <w:noWrap/>
          </w:tcPr>
          <w:p>
            <w:pPr>
              <w:jc w:val="cente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技术规格要求</w:t>
            </w:r>
            <w:r/>
          </w:p>
        </w:tc>
      </w:tr>
      <w:tr>
        <w:trPr>
          <w:jc w:val="center"/>
          <w:trHeight w:val="270"/>
        </w:trPr>
        <w:tc>
          <w:tcPr>
            <w:tcW w:w="1531" w:type="pct"/>
            <w:vAlign w:val="center"/>
            <w:vMerge w:val="restart"/>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应用数据库迁移、优化、备份</w:t>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迁移评估与方案设计：对现有HIS、CIS、LIS、RIS等核心系统进行全面评估，制定迁移路径图（停机/在线）、回滚预案、兼容性适配方案；</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迁移步骤规划：基础设施准备、测试环境搭建、 LIS/RIS迁移、 HIS/CIS正式迁移；</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应用适配与验证：协助应用开发商完成连接字符串修改、驱动升级、SQL语句兼容性改造、中间件适配；</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数据一致性校验：验证迁移前后数据完整性、准确性；</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性能压测与调优：模拟真实业务负载进行压力测试，监控TPS、QPS、响应时间，针对性优化索引、缓存、连接池；</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割接演练与正式切换：组织至少2次全流程割接演练；选择业务低峰期执行正式切换，全程监控，确保零数据丢失；</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后期支持与问题排查：提供上线后7×24小时护航支持，快速响应并解决因迁移引发的应用异常；</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文档交付：提交《迁移实施方案》《数据一致性报告》《性能测试报告》等全套文档；</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集成服务协同：确保迁移过程与系统部署无缝衔接协调软件厂商进行迁移前后应用功能及接口测试。</w:t>
            </w:r>
            <w:r/>
          </w:p>
        </w:tc>
      </w:tr>
      <w:tr>
        <w:trPr>
          <w:jc w:val="center"/>
          <w:trHeight w:val="270"/>
        </w:trPr>
        <w:tc>
          <w:tcPr>
            <w:tcW w:w="1531" w:type="pct"/>
            <w:vAlign w:val="center"/>
            <w:vMerge w:val="continue"/>
            <w:textDirection w:val="lrTb"/>
            <w:noWrap/>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各应用系统对应数据库切换前测试；</w:t>
            </w:r>
            <w:r/>
          </w:p>
        </w:tc>
      </w:tr>
      <w:tr>
        <w:trPr>
          <w:jc w:val="center"/>
          <w:trHeight w:val="270"/>
        </w:trPr>
        <w:tc>
          <w:tcPr>
            <w:tcW w:w="1531" w:type="pct"/>
            <w:vAlign w:val="center"/>
            <w:vMerge w:val="continue"/>
            <w:textDirection w:val="lrTb"/>
            <w:noWrap w:val="false"/>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b/>
                <w:bCs/>
                <w:color w:val="0000ff"/>
                <w:spacing w:val="8"/>
                <w:sz w:val="28"/>
                <w:szCs w:val="28"/>
                <w:highlight w:val="none"/>
                <w:lang w:val="zh-TW"/>
              </w:rPr>
              <w:t xml:space="preserve">★</w:t>
            </w:r>
            <w:r>
              <w:rPr>
                <w:rFonts w:hint="eastAsia" w:ascii="宋体" w:hAnsi="宋体" w:cs="宋体"/>
                <w:sz w:val="24"/>
                <w:highlight w:val="none"/>
              </w:rPr>
              <w:t xml:space="preserve">为保障系统及对应数据库和前台程序能完整快速的迁移到服务器中，需协调软件服务商技术支持人员提供现场技术保障（费用由供应商自行承担），整个切换过程数据 0 丢失，用时不超过15分钟；</w:t>
            </w:r>
            <w:r/>
          </w:p>
          <w:p>
            <w:pPr>
              <w:spacing w:before="120" w:after="120" w:line="480" w:lineRule="exact"/>
              <w:rPr>
                <w:rFonts w:hint="eastAsia" w:ascii="宋体" w:hAnsi="宋体" w:cs="宋体"/>
                <w:sz w:val="24"/>
                <w:highlight w:val="none"/>
              </w:rPr>
            </w:pPr>
            <w:r>
              <w:rPr>
                <w:rFonts w:hint="eastAsia" w:ascii="宋体" w:hAnsi="宋体" w:cs="宋体"/>
                <w:b/>
                <w:bCs/>
                <w:sz w:val="24"/>
                <w:highlight w:val="none"/>
              </w:rPr>
              <w:t xml:space="preserve">（供应商提供承诺函满足上述技术规格要求，格式自拟）</w:t>
            </w:r>
            <w:r/>
          </w:p>
        </w:tc>
      </w:tr>
      <w:tr>
        <w:trPr>
          <w:jc w:val="center"/>
          <w:trHeight w:val="270"/>
        </w:trPr>
        <w:tc>
          <w:tcPr>
            <w:tcW w:w="1531" w:type="pct"/>
            <w:vAlign w:val="center"/>
            <w:vMerge w:val="continue"/>
            <w:textDirection w:val="lrTb"/>
            <w:noWrap w:val="false"/>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根据实际运行环境制定应用数据库日常优化（说明文档）；</w:t>
            </w:r>
            <w:r/>
          </w:p>
        </w:tc>
      </w:tr>
      <w:tr>
        <w:trPr>
          <w:jc w:val="center"/>
          <w:trHeight w:val="270"/>
        </w:trPr>
        <w:tc>
          <w:tcPr>
            <w:tcW w:w="1531" w:type="pct"/>
            <w:vAlign w:val="center"/>
            <w:vMerge w:val="continue"/>
            <w:textDirection w:val="lrTb"/>
            <w:noWrap w:val="false"/>
          </w:tcPr>
          <w:p>
            <w:pPr>
              <w:spacing w:before="120" w:after="120" w:line="480" w:lineRule="exact"/>
              <w:rPr>
                <w:rFonts w:hint="eastAsia" w:ascii="宋体" w:hAnsi="宋体" w:cs="宋体"/>
                <w:sz w:val="24"/>
                <w:highlight w:val="none"/>
              </w:rPr>
            </w:pPr>
            <w:r>
              <w:rPr>
                <w:rFonts w:hint="eastAsia" w:ascii="宋体" w:hAnsi="宋体" w:cs="宋体"/>
                <w:sz w:val="24"/>
                <w:highlight w:val="none"/>
              </w:rPr>
            </w:r>
            <w:r/>
          </w:p>
        </w:tc>
        <w:tc>
          <w:tcPr>
            <w:tcW w:w="3468" w:type="pct"/>
            <w:vAlign w:val="center"/>
            <w:textDirection w:val="lrTb"/>
            <w:noWrap/>
          </w:tcPr>
          <w:p>
            <w:pPr>
              <w:numPr>
                <w:ilvl w:val="0"/>
                <w:numId w:val="37"/>
              </w:numPr>
              <w:spacing w:before="120" w:after="120" w:line="480" w:lineRule="exact"/>
              <w:rPr>
                <w:rFonts w:hint="eastAsia" w:ascii="宋体" w:hAnsi="宋体" w:cs="宋体"/>
                <w:sz w:val="24"/>
                <w:highlight w:val="none"/>
              </w:rPr>
            </w:pPr>
            <w:r>
              <w:rPr>
                <w:rFonts w:hint="eastAsia" w:ascii="宋体" w:hAnsi="宋体" w:cs="宋体"/>
                <w:sz w:val="24"/>
                <w:highlight w:val="none"/>
              </w:rPr>
              <w:t xml:space="preserve">按医院实际需求及应用情况，制定数据库优化策略；</w:t>
            </w:r>
            <w:r/>
          </w:p>
        </w:tc>
      </w:tr>
    </w:tbl>
    <w:p>
      <w:pPr>
        <w:ind w:left="568"/>
        <w:spacing w:line="360" w:lineRule="auto"/>
        <w:rPr>
          <w:rFonts w:hint="eastAsia" w:ascii="宋体" w:hAnsi="宋体" w:cs="宋体"/>
          <w:sz w:val="24"/>
          <w:highlight w:val="none"/>
        </w:rPr>
      </w:pPr>
      <w:r>
        <w:rPr>
          <w:rFonts w:hint="eastAsia" w:ascii="宋体" w:hAnsi="宋体" w:cs="宋体"/>
          <w:sz w:val="24"/>
          <w:highlight w:val="none"/>
        </w:rPr>
      </w:r>
      <w:r/>
    </w:p>
    <w:p>
      <w:pPr>
        <w:ind w:left="35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jc w:val="left"/>
        <w:widowControl/>
        <w:rPr>
          <w:b/>
          <w:sz w:val="36"/>
          <w:szCs w:val="36"/>
          <w:highlight w:val="none"/>
        </w:rPr>
      </w:pPr>
      <w:r>
        <w:rPr>
          <w:b/>
          <w:sz w:val="36"/>
          <w:szCs w:val="36"/>
          <w:highlight w:val="none"/>
        </w:rPr>
      </w:r>
      <w:r/>
    </w:p>
    <w:p>
      <w:pPr>
        <w:rPr>
          <w:b/>
          <w:sz w:val="36"/>
          <w:szCs w:val="36"/>
          <w:highlight w:val="none"/>
        </w:rPr>
      </w:pPr>
      <w:r>
        <w:rPr>
          <w:b/>
          <w:sz w:val="36"/>
          <w:szCs w:val="36"/>
          <w:highlight w:val="none"/>
        </w:rPr>
        <w:br w:type="page" w:clear="all"/>
      </w:r>
      <w:r/>
    </w:p>
    <w:p>
      <w:pPr>
        <w:jc w:val="center"/>
        <w:spacing w:line="360" w:lineRule="auto"/>
        <w:rPr>
          <w:b/>
          <w:sz w:val="36"/>
          <w:szCs w:val="36"/>
          <w:highlight w:val="none"/>
        </w:rPr>
        <w:outlineLvl w:val="0"/>
      </w:pPr>
      <w:r>
        <w:rPr>
          <w:b/>
          <w:sz w:val="36"/>
          <w:szCs w:val="36"/>
          <w:highlight w:val="none"/>
        </w:rPr>
        <w:t xml:space="preserve">第六章   拟签订的合同文本</w:t>
      </w:r>
      <w:bookmarkEnd w:id="812"/>
      <w:r/>
      <w:r/>
    </w:p>
    <w:p>
      <w:pPr>
        <w:ind w:right="979"/>
        <w:jc w:val="center"/>
        <w:spacing w:line="560" w:lineRule="exact"/>
        <w:rPr>
          <w:rFonts w:hint="eastAsia" w:ascii="宋体" w:hAnsi="宋体" w:cs="华文中宋"/>
          <w:b/>
          <w:color w:val="000000" w:themeColor="text1"/>
          <w:sz w:val="28"/>
          <w:szCs w:val="28"/>
          <w:highlight w:val="none"/>
          <w14:textFill>
            <w14:solidFill>
              <w14:schemeClr w14:val="tx1"/>
            </w14:solidFill>
          </w14:textFill>
        </w:rPr>
      </w:pPr>
      <w:r/>
      <w:bookmarkStart w:id="813" w:name="_Toc99301426"/>
      <w:r/>
      <w:r/>
    </w:p>
    <w:p>
      <w:pPr>
        <w:ind w:right="979"/>
        <w:jc w:val="center"/>
        <w:spacing w:line="560" w:lineRule="exact"/>
        <w:rPr>
          <w:rFonts w:hint="eastAsia" w:ascii="宋体" w:hAnsi="宋体" w:cs="华文中宋"/>
          <w:b/>
          <w:color w:val="000000" w:themeColor="text1"/>
          <w:sz w:val="28"/>
          <w:szCs w:val="28"/>
          <w:highlight w:val="none"/>
          <w14:textFill>
            <w14:solidFill>
              <w14:schemeClr w14:val="tx1"/>
            </w14:solidFill>
          </w14:textFill>
        </w:rPr>
      </w:pPr>
      <w:r>
        <w:rPr>
          <w:rFonts w:hint="eastAsia" w:ascii="宋体" w:hAnsi="宋体" w:cs="华文中宋"/>
          <w:b/>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40"/>
          <w:szCs w:val="40"/>
          <w:highlight w:val="none"/>
          <w14:textFill>
            <w14:solidFill>
              <w14:schemeClr w14:val="tx1"/>
            </w14:solidFill>
          </w14:textFill>
        </w:rPr>
      </w:pPr>
      <w:r/>
      <w:bookmarkStart w:id="814" w:name="_Hlk75944811"/>
      <w:r>
        <w:rPr>
          <w:rFonts w:hint="eastAsia" w:ascii="宋体" w:hAnsi="宋体" w:cs="宋体"/>
          <w:b/>
          <w:bCs/>
          <w:color w:val="000000" w:themeColor="text1"/>
          <w:spacing w:val="60"/>
          <w:sz w:val="40"/>
          <w:szCs w:val="40"/>
          <w:highlight w:val="none"/>
          <w14:textFill>
            <w14:solidFill>
              <w14:schemeClr w14:val="tx1"/>
            </w14:solidFill>
          </w14:textFill>
        </w:rPr>
        <w:t xml:space="preserve">合同</w:t>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tbl>
      <w:tblPr>
        <w:tblStyle w:val="1291"/>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6684"/>
      </w:tblGrid>
      <w:tr>
        <w:trPr>
          <w:jc w:val="center"/>
          <w:trHeight w:val="850"/>
        </w:trPr>
        <w:tc>
          <w:tcPr>
            <w:tcW w:w="2415"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项目名称：</w:t>
            </w:r>
            <w:r/>
          </w:p>
        </w:tc>
        <w:tc>
          <w:tcPr>
            <w:tcW w:w="6684" w:type="dxa"/>
            <w:vAlign w:val="center"/>
            <w:textDirection w:val="lrTb"/>
            <w:noWrap w:val="false"/>
          </w:tcPr>
          <w:p>
            <w:pPr>
              <w:jc w:val="left"/>
              <w:rPr>
                <w:color w:val="000000" w:themeColor="text1"/>
                <w:sz w:val="28"/>
                <w:szCs w:val="28"/>
                <w:highlight w:val="none"/>
                <w:u w:val="single"/>
                <w14:textFill>
                  <w14:solidFill>
                    <w14:schemeClr w14:val="tx1"/>
                  </w14:solidFill>
                </w14:textFill>
              </w:rPr>
            </w:pPr>
            <w:r>
              <w:rPr>
                <w:color w:val="000000" w:themeColor="text1"/>
                <w:sz w:val="28"/>
                <w:szCs w:val="28"/>
                <w:highlight w:val="none"/>
                <w:u w:val="single"/>
                <w14:textFill>
                  <w14:solidFill>
                    <w14:schemeClr w14:val="tx1"/>
                  </w14:solidFill>
                </w14:textFill>
              </w:rPr>
            </w:r>
            <w:r/>
          </w:p>
        </w:tc>
      </w:tr>
      <w:tr>
        <w:trPr>
          <w:jc w:val="center"/>
          <w:trHeight w:val="850"/>
        </w:trPr>
        <w:tc>
          <w:tcPr>
            <w:tcW w:w="2415"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甲方：</w:t>
            </w:r>
            <w:r/>
          </w:p>
        </w:tc>
        <w:tc>
          <w:tcPr>
            <w:tcW w:w="6684"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tc>
      </w:tr>
      <w:tr>
        <w:trPr>
          <w:jc w:val="center"/>
          <w:trHeight w:val="850"/>
        </w:trPr>
        <w:tc>
          <w:tcPr>
            <w:tcW w:w="2415"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乙方：</w:t>
            </w:r>
            <w:r/>
          </w:p>
        </w:tc>
        <w:tc>
          <w:tcPr>
            <w:tcW w:w="6684" w:type="dxa"/>
            <w:vAlign w:val="center"/>
            <w:textDirection w:val="lrTb"/>
            <w:noWrap w:val="false"/>
          </w:tcPr>
          <w:p>
            <w:pPr>
              <w:jc w:val="left"/>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tc>
      </w:tr>
      <w:tr>
        <w:trPr>
          <w:jc w:val="center"/>
          <w:trHeight w:val="850"/>
        </w:trPr>
        <w:tc>
          <w:tcPr>
            <w:tcW w:w="2415"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签订地点：</w:t>
            </w:r>
            <w:r/>
          </w:p>
        </w:tc>
        <w:tc>
          <w:tcPr>
            <w:tcW w:w="6684"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tc>
      </w:tr>
      <w:tr>
        <w:trPr>
          <w:jc w:val="center"/>
          <w:trHeight w:val="850"/>
        </w:trPr>
        <w:tc>
          <w:tcPr>
            <w:tcW w:w="2415"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 xml:space="preserve">签订日期：</w:t>
            </w:r>
            <w:r/>
          </w:p>
        </w:tc>
        <w:tc>
          <w:tcPr>
            <w:tcW w:w="6684" w:type="dxa"/>
            <w:vAlign w:val="center"/>
            <w:textDirection w:val="lrTb"/>
            <w:noWrap w:val="false"/>
          </w:tcPr>
          <w:p>
            <w:pPr>
              <w:jc w:val="left"/>
              <w:rPr>
                <w:b/>
                <w:bCs/>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年</w:t>
            </w:r>
            <w:r>
              <w:rPr>
                <w:rFonts w:hint="eastAsia"/>
                <w:color w:val="000000" w:themeColor="text1"/>
                <w:sz w:val="28"/>
                <w:szCs w:val="28"/>
                <w:highlight w:val="none"/>
                <w14:textFill>
                  <w14:solidFill>
                    <w14:schemeClr w14:val="tx1"/>
                  </w14:solidFill>
                </w14:textFill>
              </w:rPr>
              <w:t xml:space="preserve">  </w:t>
            </w:r>
            <w:r>
              <w:rPr>
                <w:color w:val="000000" w:themeColor="text1"/>
                <w:sz w:val="28"/>
                <w:szCs w:val="28"/>
                <w:highlight w:val="none"/>
                <w14:textFill>
                  <w14:solidFill>
                    <w14:schemeClr w14:val="tx1"/>
                  </w14:solidFill>
                </w14:textFill>
              </w:rPr>
              <w:t xml:space="preserve">月</w:t>
            </w:r>
            <w:r>
              <w:rPr>
                <w:rFonts w:hint="eastAsia"/>
                <w:color w:val="000000" w:themeColor="text1"/>
                <w:sz w:val="28"/>
                <w:szCs w:val="28"/>
                <w:highlight w:val="none"/>
                <w14:textFill>
                  <w14:solidFill>
                    <w14:schemeClr w14:val="tx1"/>
                  </w14:solidFill>
                </w14:textFill>
              </w:rPr>
              <w:t xml:space="preserve">  日</w:t>
            </w:r>
            <w:r/>
          </w:p>
        </w:tc>
      </w:tr>
    </w:tbl>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rPr>
          <w:rFonts w:eastAsia="微软雅黑"/>
          <w:b/>
          <w:bCs/>
          <w:color w:val="000000" w:themeColor="text1"/>
          <w:sz w:val="28"/>
          <w:szCs w:val="28"/>
          <w:highlight w:val="none"/>
          <w14:textFill>
            <w14:solidFill>
              <w14:schemeClr w14:val="tx1"/>
            </w14:solidFill>
          </w14:textFill>
        </w:rPr>
      </w:pPr>
      <w:r>
        <w:rPr>
          <w:rFonts w:eastAsia="微软雅黑"/>
          <w:b/>
          <w:bCs/>
          <w:color w:val="000000" w:themeColor="text1"/>
          <w:sz w:val="28"/>
          <w:szCs w:val="28"/>
          <w:highlight w:val="none"/>
          <w14:textFill>
            <w14:solidFill>
              <w14:schemeClr w14:val="tx1"/>
            </w14:solidFill>
          </w14:textFill>
        </w:rPr>
      </w:r>
      <w:r/>
    </w:p>
    <w:p>
      <w:pPr>
        <w:pStyle w:val="1499"/>
        <w:spacing w:line="44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bookmarkEnd w:id="814"/>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项目名称：主业务系统硬件扩容及数据库迁移</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项目编号：</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甲方：（买方）</w:t>
      </w:r>
      <w:r>
        <w:rPr>
          <w:rFonts w:hint="eastAsia" w:ascii="宋体" w:hAnsi="宋体" w:cs="宋体"/>
          <w:color w:val="0d1e0f"/>
          <w:sz w:val="24"/>
          <w:highlight w:val="none"/>
          <w:u w:val="single"/>
        </w:rPr>
        <w:t xml:space="preserve">常州市金坛第一人民医院</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乙方：（卖方）_________</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甲、乙双方根据常州市政府采购中心项目公开招标的结果，签署本合同。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一、合同内容</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 标的名称：</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1.2标的质量：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1.3 标的数量（规模）：</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 履行时间（期限）：</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1.5 履行地点：</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1.6履行方式：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二、合同金额</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2.1 本合同金额为（大写）：___________________________元整（_______________元）人民币或其他币种。</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三、技术资料</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3.1乙方应按招标文件规定的时间向甲方提供服务（包含与服务相关的货物）的有关技术资料。</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3.3售后服务：</w:t>
      </w:r>
      <w:r/>
    </w:p>
    <w:p>
      <w:pPr>
        <w:ind w:firstLine="480"/>
        <w:spacing w:line="570" w:lineRule="exact"/>
        <w:rPr>
          <w:rFonts w:hint="eastAsia" w:ascii="宋体" w:hAnsi="宋体" w:eastAsia="宋体" w:cs="宋体"/>
          <w:color w:val="0d1e0f"/>
          <w:sz w:val="24"/>
          <w:highlight w:val="none"/>
          <w:lang w:eastAsia="zh-CN"/>
        </w:rPr>
      </w:pPr>
      <w:r>
        <w:rPr>
          <w:rFonts w:hint="eastAsia" w:ascii="宋体" w:hAnsi="宋体" w:cs="宋体"/>
          <w:color w:val="0d1e0f"/>
          <w:sz w:val="24"/>
          <w:highlight w:val="none"/>
        </w:rPr>
        <w:t xml:space="preserve">（1）自项目验收合格之日起算，</w:t>
      </w:r>
      <w:r>
        <w:rPr>
          <w:rFonts w:hint="eastAsia" w:ascii="Songti SC" w:hAnsi="Songti SC" w:eastAsia="Songti SC" w:cs="Songti SC"/>
          <w:sz w:val="24"/>
          <w:highlight w:val="none"/>
          <w:lang w:bidi="ar"/>
        </w:rPr>
        <w:t xml:space="preserve">满足软件部署性能要求及</w:t>
      </w:r>
      <w:r>
        <w:rPr>
          <w:rFonts w:hint="eastAsia" w:ascii="宋体" w:hAnsi="宋体" w:cs="宋体"/>
          <w:sz w:val="24"/>
          <w:highlight w:val="none"/>
        </w:rPr>
        <w:t xml:space="preserve">数据库负载均衡软件提供</w:t>
      </w:r>
      <w:r>
        <w:rPr>
          <w:rFonts w:hint="eastAsia" w:ascii="宋体" w:hAnsi="宋体" w:cs="宋体"/>
          <w:sz w:val="24"/>
          <w:highlight w:val="none"/>
          <w:lang w:eastAsia="zh-CN"/>
        </w:rPr>
        <w:t xml:space="preserve">6年</w:t>
      </w:r>
      <w:r>
        <w:rPr>
          <w:rFonts w:hint="eastAsia" w:ascii="宋体" w:hAnsi="宋体" w:cs="宋体"/>
          <w:sz w:val="24"/>
          <w:highlight w:val="none"/>
          <w:lang w:val="en-US" w:eastAsia="zh-CN"/>
        </w:rPr>
        <w:t xml:space="preserve">免费</w:t>
      </w:r>
      <w:r>
        <w:rPr>
          <w:rFonts w:hint="eastAsia" w:ascii="宋体" w:hAnsi="宋体" w:cs="宋体"/>
          <w:sz w:val="24"/>
          <w:highlight w:val="none"/>
        </w:rPr>
        <w:t xml:space="preserve">质保服务，系统集成及迁移服务提供1年</w:t>
      </w:r>
      <w:r>
        <w:rPr>
          <w:rFonts w:hint="eastAsia" w:ascii="宋体" w:hAnsi="宋体" w:cs="宋体"/>
          <w:sz w:val="24"/>
          <w:highlight w:val="none"/>
          <w:lang w:val="en-US" w:eastAsia="zh-CN"/>
        </w:rPr>
        <w:t xml:space="preserve">免费</w:t>
      </w:r>
      <w:r>
        <w:rPr>
          <w:rFonts w:hint="eastAsia" w:ascii="宋体" w:hAnsi="宋体" w:cs="宋体"/>
          <w:sz w:val="24"/>
          <w:highlight w:val="none"/>
        </w:rPr>
        <w:t xml:space="preserve">质保服务</w:t>
      </w:r>
      <w:r>
        <w:rPr>
          <w:rFonts w:hint="eastAsia" w:ascii="宋体" w:hAnsi="宋体" w:cs="宋体"/>
          <w:sz w:val="24"/>
          <w:highlight w:val="none"/>
          <w:lang w:eastAsia="zh-CN"/>
        </w:rPr>
        <w:t xml:space="preserve">。</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（2）服务响应及故障处理</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服务响应及维修。乙方提供7*24小时的技术支持和服务。15分钟内对甲方所提出的需求做出响应，1小时内到达现场，承诺在规定的时间内完成维修。</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四、知识产权</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570" w:lineRule="exact"/>
        <w:rPr>
          <w:rFonts w:hint="eastAsia" w:ascii="宋体" w:hAnsi="宋体" w:cs="宋体"/>
          <w:color w:val="0d1e0f"/>
          <w:sz w:val="24"/>
          <w:highlight w:val="none"/>
          <w:u w:val="single"/>
        </w:rPr>
      </w:pPr>
      <w:r>
        <w:rPr>
          <w:rFonts w:hint="eastAsia" w:ascii="宋体" w:hAnsi="宋体" w:cs="宋体"/>
          <w:color w:val="0d1e0f"/>
          <w:sz w:val="24"/>
          <w:highlight w:val="none"/>
        </w:rPr>
        <w:t xml:space="preserve">五、产权担保</w:t>
      </w:r>
      <w:r/>
    </w:p>
    <w:p>
      <w:pPr>
        <w:ind w:firstLine="480"/>
        <w:spacing w:line="570" w:lineRule="exact"/>
        <w:rPr>
          <w:rFonts w:hint="eastAsia" w:ascii="宋体" w:hAnsi="宋体" w:cs="宋体"/>
          <w:color w:val="0d1e0f"/>
          <w:sz w:val="24"/>
          <w:highlight w:val="none"/>
          <w:u w:val="single"/>
        </w:rPr>
      </w:pPr>
      <w:r>
        <w:rPr>
          <w:rFonts w:hint="eastAsia" w:ascii="宋体" w:hAnsi="宋体" w:cs="宋体"/>
          <w:color w:val="0d1e0f"/>
          <w:sz w:val="24"/>
          <w:highlight w:val="none"/>
        </w:rPr>
        <w:t xml:space="preserve">5.1 乙方保证所交付的服务（包含与服务相关的货物）的所有权完全属于乙方且无任何抵押、查封等产权瑕疵。</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六、履约保证金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本项目</w:t>
      </w:r>
      <w:r>
        <w:rPr>
          <w:rFonts w:hint="eastAsia" w:ascii="宋体" w:hAnsi="宋体" w:cs="宋体"/>
          <w:color w:val="0d1e0f"/>
          <w:sz w:val="24"/>
          <w:highlight w:val="none"/>
          <w:u w:val="single"/>
        </w:rPr>
        <w:t xml:space="preserve">  </w:t>
      </w:r>
      <w:r>
        <w:rPr>
          <w:rFonts w:hint="eastAsia" w:ascii="宋体" w:hAnsi="宋体" w:cs="宋体"/>
          <w:color w:val="0d1e0f"/>
          <w:sz w:val="24"/>
          <w:highlight w:val="none"/>
          <w:u w:val="single"/>
          <w:lang w:val="en-US" w:eastAsia="zh-CN"/>
        </w:rPr>
        <w:t xml:space="preserve">5%</w:t>
      </w:r>
      <w:r>
        <w:rPr>
          <w:rFonts w:hint="eastAsia" w:ascii="宋体" w:hAnsi="宋体" w:cs="宋体"/>
          <w:color w:val="0d1e0f"/>
          <w:sz w:val="24"/>
          <w:highlight w:val="none"/>
          <w:u w:val="single"/>
        </w:rPr>
        <w:t xml:space="preserve">  </w:t>
      </w:r>
      <w:r>
        <w:rPr>
          <w:rFonts w:hint="eastAsia" w:ascii="宋体" w:hAnsi="宋体" w:cs="宋体"/>
          <w:color w:val="0d1e0f"/>
          <w:sz w:val="24"/>
          <w:highlight w:val="none"/>
        </w:rPr>
        <w:t xml:space="preserve">履约保证金。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6.1 乙方交纳人民币_________元作为本合同的履约保证金。供应商可以自主选择以支票、汇票、本票、保函（保险）等非现金形式交纳或提交，按照省市有关文件精神，鼓励优先采用电子履约保函（保险）形式。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 合同履行结束后，甲方应及时退还交纳的履约保证金。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6.2.1履约保证金退还方式：</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6.2.2履约保证金退还时间：</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6.2.3履约保证金退还条件：</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6.2.4履约保证金不予退还的情形：</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七、合同转包或分包</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7.1 乙方不得将合同标的转包给他人履行。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7.2 乙方不得将合同标的分包给他人履行。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7.3 乙方如有转包或未经甲方同意的分包行为，甲方有权解除合同。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八、合同款项支付</w:t>
      </w:r>
      <w:r/>
    </w:p>
    <w:p>
      <w:pPr>
        <w:ind w:left="420"/>
        <w:spacing w:line="360" w:lineRule="auto"/>
        <w:rPr>
          <w:rFonts w:hint="eastAsia" w:ascii="宋体" w:hAnsi="宋体" w:cs="宋体"/>
          <w:color w:val="0d1e0f"/>
          <w:sz w:val="24"/>
          <w:highlight w:val="none"/>
        </w:rPr>
      </w:pPr>
      <w:r>
        <w:rPr>
          <w:rFonts w:hint="eastAsia" w:ascii="宋体" w:hAnsi="宋体" w:cs="宋体"/>
          <w:color w:val="0d1e0f"/>
          <w:sz w:val="24"/>
          <w:highlight w:val="none"/>
        </w:rPr>
        <w:t xml:space="preserve">8.1付款：</w:t>
      </w:r>
      <w:r/>
    </w:p>
    <w:p>
      <w:p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(1)合同签订后预付合同金额的 30%。</w:t>
      </w:r>
      <w:r/>
    </w:p>
    <w:p>
      <w:p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(2)乙方向甲方交付全部资源后，甲方组织验收，验收合格后支付合同金额 65%(无息)；如果验收不合格，甲方暂不支付该款项，待乙方根据甲方修改意见修改，验收合格后，再进行支付。</w:t>
      </w:r>
      <w:r/>
    </w:p>
    <w:p>
      <w:p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(3)尾款5%(无息)在项目正常运行满1年后支付。</w:t>
      </w:r>
      <w:r/>
    </w:p>
    <w:p>
      <w:pPr>
        <w:ind w:firstLine="482"/>
        <w:spacing w:line="570" w:lineRule="exact"/>
        <w:rPr>
          <w:rFonts w:hint="eastAsia" w:ascii="宋体" w:hAnsi="宋体" w:cs="宋体"/>
          <w:i/>
          <w:color w:val="0d1e0f"/>
          <w:sz w:val="24"/>
          <w:highlight w:val="none"/>
        </w:rPr>
      </w:pPr>
      <w:r>
        <w:rPr>
          <w:rFonts w:hint="eastAsia" w:ascii="宋体" w:hAnsi="宋体" w:cs="宋体"/>
          <w:b/>
          <w:color w:val="000000"/>
          <w:sz w:val="24"/>
          <w:highlight w:val="none"/>
        </w:rPr>
        <w:t xml:space="preserve">注：各支付节点支付项目款时需同时提供等额的增值税专用发票（发票需符合国家税务总局的相关要求，发票税点符合税法相关要求）。</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九、税费</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9.1 本合同执行中相关的一切税费均由乙方负担。</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十、项目验收</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10.1 甲方依法组织履约验收工作。</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10.3 对于实际使用人和甲方分离的项目，甲方邀请实际使用人参与验收。</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10.4 如有必要，甲方邀请参加本项目的其他供应商或第三方专业机构及专家参与验收，相关意见将作为验收书的参考资料。</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十一、违约责任</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11.1 甲方无正当理由拒绝接受乙方提供服务的，甲方向乙方偿付拒绝接受服务合同价款总值的违约金。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11.2 甲方无故逾期验收和办理合同款项支付手续的,甲方应按逾期付款总额每日向乙方支付违约金。</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11.4 乙方所提供服务的标准不符合合同规定及招标文件规定标准的，甲方有权拒绝接受服务，并可单方面解除合同。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十二、不可抗力事件处理</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12.1 在合同有效期内，任何一方因不可抗力事件导致不能履行合同，则合同履行期可延长，其延长期与不可抗力影响期相同。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12.2 不可抗力事件发生后，应立即通知对方，并寄送有关权威机构出具的证明。</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12.3 不可抗力事件延续120天以上，双方应通过友好协商，确定是否继续履行合同。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十三、解决争议的方法</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13.1双方在签订、履行合同中所发生的一切争议，应通过友好协商解决。如协商不成，由甲方住所地人民法院管辖。</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十四、合同生效及其他</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14.1 合同经双方法定代表人或授权委托代表人签字并加盖单位公章后生效。</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14.2 本合同未尽事宜，遵照《中华人民共和国民法典》《中华人民共和国政府采购法》有关条文执行。</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14.3 本合同正本一式两份，具有同等法律效力，甲方、乙方各执一份。</w:t>
      </w:r>
      <w:r/>
    </w:p>
    <w:p>
      <w:pPr>
        <w:ind w:firstLine="480"/>
        <w:spacing w:line="570" w:lineRule="exact"/>
        <w:rPr>
          <w:rFonts w:hint="eastAsia" w:ascii="宋体" w:hAnsi="宋体" w:cs="宋体"/>
          <w:color w:val="0d1e0f"/>
          <w:sz w:val="24"/>
          <w:highlight w:val="none"/>
        </w:rPr>
      </w:pPr>
      <w:r>
        <w:rPr>
          <w:rFonts w:hint="eastAsia" w:ascii="宋体" w:hAnsi="宋体" w:cs="宋体"/>
          <w:color w:val="0d1e0f"/>
          <w:sz w:val="24"/>
          <w:highlight w:val="none"/>
        </w:rPr>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甲方：                                  乙方：</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地址：                                  地址：</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法定代表人或授权代表：                  法定代表人或授权代表：</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联系电话：                              联系电话：</w:t>
      </w:r>
      <w:r/>
    </w:p>
    <w:p>
      <w:pPr>
        <w:spacing w:before="120" w:line="570" w:lineRule="exact"/>
        <w:rPr>
          <w:rFonts w:hint="eastAsia" w:ascii="宋体" w:hAnsi="宋体" w:cs="宋体"/>
          <w:color w:val="0d1e0f"/>
          <w:sz w:val="24"/>
          <w:highlight w:val="none"/>
        </w:rPr>
      </w:pPr>
      <w:r>
        <w:rPr>
          <w:rFonts w:hint="eastAsia" w:ascii="宋体" w:hAnsi="宋体" w:cs="宋体"/>
          <w:color w:val="0d1e0f"/>
          <w:sz w:val="24"/>
          <w:highlight w:val="none"/>
        </w:rPr>
        <w:t xml:space="preserve">签订日期：  年  月  日</w:t>
      </w:r>
      <w:bookmarkStart w:id="815" w:name="_Hlt16619369"/>
      <w:r/>
      <w:bookmarkEnd w:id="815"/>
      <w:r/>
      <w:r/>
    </w:p>
    <w:p>
      <w:pPr>
        <w:ind w:firstLine="200"/>
        <w:jc w:val="center"/>
        <w:spacing w:before="100" w:beforeAutospacing="1" w:after="100" w:afterAutospacing="1" w:line="560" w:lineRule="exact"/>
        <w:widowControl/>
        <w:rPr>
          <w:rStyle w:val="1068"/>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rPr>
          <w:rFonts w:hint="eastAsia" w:ascii="宋体" w:hAnsi="宋体"/>
          <w:b/>
          <w:sz w:val="30"/>
          <w:szCs w:val="30"/>
          <w:highlight w:val="none"/>
        </w:rPr>
      </w:pPr>
      <w:r>
        <w:rPr>
          <w:rFonts w:hint="eastAsia" w:ascii="宋体" w:hAnsi="宋体"/>
          <w:b/>
          <w:sz w:val="30"/>
          <w:szCs w:val="30"/>
          <w:highlight w:val="none"/>
        </w:rPr>
        <w:br w:type="page" w:clear="all"/>
      </w:r>
      <w:r/>
    </w:p>
    <w:p>
      <w:pPr>
        <w:jc w:val="center"/>
        <w:spacing w:line="360" w:lineRule="auto"/>
        <w:rPr>
          <w:b/>
          <w:sz w:val="36"/>
          <w:szCs w:val="36"/>
          <w:highlight w:val="none"/>
        </w:rPr>
        <w:outlineLvl w:val="0"/>
      </w:pPr>
      <w:r>
        <w:rPr>
          <w:b/>
          <w:sz w:val="36"/>
          <w:szCs w:val="36"/>
          <w:highlight w:val="none"/>
        </w:rPr>
        <w:t xml:space="preserve">第七章   投标文件格式</w:t>
      </w:r>
      <w:bookmarkEnd w:id="813"/>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b/>
          <w:sz w:val="30"/>
          <w:szCs w:val="20"/>
          <w:highlight w:val="none"/>
        </w:rPr>
      </w:pPr>
      <w:r>
        <w:rPr>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b/>
          <w:spacing w:val="60"/>
          <w:sz w:val="52"/>
          <w:szCs w:val="52"/>
          <w:highlight w:val="none"/>
        </w:rPr>
      </w:pPr>
      <w:r>
        <w:rPr>
          <w:b/>
          <w:spacing w:val="60"/>
          <w:sz w:val="52"/>
          <w:szCs w:val="52"/>
          <w:highlight w:val="none"/>
        </w:rPr>
      </w:r>
      <w:r/>
    </w:p>
    <w:p>
      <w:pPr>
        <w:ind w:firstLine="963"/>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hint="eastAsia" w:ascii="宋体" w:hAnsi="宋体"/>
          <w:b/>
          <w:sz w:val="32"/>
          <w:szCs w:val="32"/>
          <w:highlight w:val="none"/>
        </w:rPr>
      </w:pPr>
      <w:r>
        <w:rPr>
          <w:b/>
          <w:spacing w:val="20"/>
          <w:sz w:val="32"/>
          <w:szCs w:val="32"/>
          <w:highlight w:val="none"/>
        </w:rPr>
        <w:br w:type="page" w:clear="all"/>
      </w:r>
      <w:r/>
    </w:p>
    <w:p>
      <w:pPr>
        <w:rPr>
          <w:b/>
          <w:highlight w:val="none"/>
        </w:rPr>
      </w:pPr>
      <w:r>
        <w:rPr>
          <w:b/>
          <w:highlight w:val="none"/>
        </w:rPr>
      </w:r>
      <w:r/>
    </w:p>
    <w:p>
      <w:pPr>
        <w:spacing w:line="360" w:lineRule="auto"/>
        <w:rPr>
          <w:sz w:val="24"/>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spacing w:line="360" w:lineRule="auto"/>
        <w:rPr>
          <w:b/>
          <w:bCs/>
          <w:color w:val="000000"/>
          <w:highlight w:val="none"/>
        </w:rPr>
        <w:outlineLvl w:val="2"/>
      </w:pPr>
      <w:r>
        <w:rPr>
          <w:b/>
          <w:color w:val="000000"/>
          <w:highlight w:val="none"/>
        </w:rPr>
        <w:t xml:space="preserve">1-</w:t>
      </w:r>
      <w:r>
        <w:rPr>
          <w:rFonts w:hint="eastAsia"/>
          <w:b/>
          <w:color w:val="000000"/>
          <w:highlight w:val="none"/>
        </w:rPr>
        <w:t xml:space="preserve">1</w:t>
      </w:r>
      <w:r>
        <w:rPr>
          <w:b/>
          <w:color w:val="000000"/>
          <w:highlight w:val="none"/>
        </w:rPr>
        <w:t xml:space="preserve"> 投标人资格声明</w:t>
      </w:r>
      <w:r>
        <w:rPr>
          <w:rFonts w:hint="eastAsia"/>
          <w:b/>
          <w:color w:val="000000"/>
          <w:highlight w:val="none"/>
        </w:rPr>
        <w:t xml:space="preserve">函</w:t>
      </w:r>
      <w:r>
        <w:rPr>
          <w:b/>
          <w:color w:val="000000"/>
          <w:highlight w:val="none"/>
        </w:rPr>
        <w:t xml:space="preserve">（实质性格式）</w:t>
      </w:r>
      <w:r/>
    </w:p>
    <w:p>
      <w:pPr>
        <w:jc w:val="center"/>
        <w:spacing w:before="120" w:line="360" w:lineRule="auto"/>
        <w:widowControl/>
        <w:rPr>
          <w:highlight w:val="none"/>
        </w:rPr>
      </w:pPr>
      <w:r>
        <w:rPr>
          <w:rFonts w:hint="eastAsia" w:ascii="宋体" w:hAnsi="宋体" w:cs="宋体"/>
          <w:b/>
          <w:sz w:val="28"/>
          <w:szCs w:val="28"/>
          <w:highlight w:val="none"/>
        </w:rPr>
        <w:t xml:space="preserve">投标人资格声明函</w:t>
      </w:r>
      <w:r/>
    </w:p>
    <w:p>
      <w:pPr>
        <w:pStyle w:val="1243"/>
        <w:ind w:firstLine="480"/>
        <w:spacing w:line="460" w:lineRule="exact"/>
        <w:rPr>
          <w:highlight w:val="none"/>
        </w:rPr>
      </w:pPr>
      <w:r>
        <w:rPr>
          <w:rFonts w:hint="eastAsia"/>
          <w:highlight w:val="none"/>
        </w:rPr>
        <w:t xml:space="preserve">致：</w:t>
      </w:r>
      <w:r/>
    </w:p>
    <w:p>
      <w:pPr>
        <w:pStyle w:val="1243"/>
        <w:ind w:firstLine="960"/>
        <w:spacing w:line="460" w:lineRule="exact"/>
        <w:rPr>
          <w:highlight w:val="none"/>
        </w:rPr>
      </w:pPr>
      <w:r>
        <w:rPr>
          <w:rFonts w:hint="eastAsia"/>
          <w:highlight w:val="none"/>
          <w:u w:val="single"/>
        </w:rPr>
        <w:t xml:space="preserve">（采购人名称）</w:t>
      </w:r>
      <w:r/>
    </w:p>
    <w:p>
      <w:pPr>
        <w:pStyle w:val="124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24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24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243"/>
        <w:ind w:firstLine="480"/>
        <w:spacing w:line="460" w:lineRule="exact"/>
        <w:rPr>
          <w:highlight w:val="none"/>
        </w:rPr>
      </w:pPr>
      <w:r>
        <w:rPr>
          <w:rFonts w:hint="eastAsia"/>
          <w:highlight w:val="none"/>
        </w:rPr>
        <w:t xml:space="preserve">三、我单位依法进行纳税和社会保险申报并实际履行了义务。</w:t>
      </w:r>
      <w:r/>
    </w:p>
    <w:p>
      <w:pPr>
        <w:pStyle w:val="124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243"/>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24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24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43"/>
        <w:ind w:firstLine="480"/>
        <w:spacing w:line="460" w:lineRule="exact"/>
        <w:rPr>
          <w:highlight w:val="none"/>
        </w:rPr>
      </w:pPr>
      <w:r>
        <w:rPr>
          <w:rFonts w:hint="eastAsia"/>
          <w:highlight w:val="none"/>
        </w:rPr>
        <w:t xml:space="preserve">六、我单位具备法律、行政法规规定的其他条件。</w:t>
      </w:r>
      <w:r/>
    </w:p>
    <w:p>
      <w:pPr>
        <w:pStyle w:val="124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24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24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24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24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243"/>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24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24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24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243"/>
        <w:ind w:firstLine="480"/>
        <w:spacing w:line="460" w:lineRule="exact"/>
        <w:rPr>
          <w:highlight w:val="none"/>
        </w:rPr>
      </w:pPr>
      <w:r>
        <w:rPr>
          <w:highlight w:val="none"/>
        </w:rPr>
      </w:r>
      <w:r/>
    </w:p>
    <w:p>
      <w:pPr>
        <w:pStyle w:val="124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243"/>
        <w:ind w:firstLine="480"/>
        <w:spacing w:line="460" w:lineRule="exact"/>
        <w:rPr>
          <w:highlight w:val="none"/>
        </w:rPr>
      </w:pPr>
      <w:r>
        <w:rPr>
          <w:highlight w:val="none"/>
        </w:rPr>
      </w:r>
      <w:r/>
    </w:p>
    <w:p>
      <w:pPr>
        <w:pStyle w:val="1243"/>
        <w:ind w:firstLine="480"/>
        <w:spacing w:line="460" w:lineRule="exact"/>
        <w:rPr>
          <w:highlight w:val="none"/>
        </w:rPr>
      </w:pPr>
      <w:r>
        <w:rPr>
          <w:highlight w:val="none"/>
        </w:rPr>
      </w:r>
      <w:r/>
    </w:p>
    <w:p>
      <w:pPr>
        <w:pStyle w:val="1243"/>
        <w:ind w:firstLine="480"/>
        <w:spacing w:line="460" w:lineRule="exact"/>
        <w:rPr>
          <w:highlight w:val="none"/>
        </w:rPr>
      </w:pPr>
      <w:r>
        <w:rPr>
          <w:rFonts w:hint="eastAsia"/>
          <w:highlight w:val="none"/>
        </w:rPr>
        <w:t xml:space="preserve">                                            投标人：（加盖公章）</w:t>
      </w:r>
      <w:r/>
    </w:p>
    <w:p>
      <w:pPr>
        <w:pStyle w:val="1243"/>
        <w:ind w:firstLine="480"/>
        <w:spacing w:line="460" w:lineRule="exact"/>
        <w:rPr>
          <w:highlight w:val="none"/>
        </w:rPr>
      </w:pPr>
      <w:r>
        <w:rPr>
          <w:rFonts w:hint="eastAsia"/>
          <w:highlight w:val="none"/>
        </w:rPr>
        <w:t xml:space="preserve">                                           法定代表人（或单位负责人）签字或盖章：</w:t>
      </w:r>
      <w:r/>
    </w:p>
    <w:p>
      <w:pPr>
        <w:pStyle w:val="1243"/>
        <w:ind w:firstLine="4920"/>
        <w:spacing w:line="460" w:lineRule="exact"/>
        <w:rPr>
          <w:highlight w:val="none"/>
        </w:rPr>
      </w:pPr>
      <w:r>
        <w:rPr>
          <w:rFonts w:hint="eastAsia"/>
          <w:highlight w:val="none"/>
        </w:rPr>
        <w:t xml:space="preserve">日期：    年    月    日</w:t>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headerReference w:type="default" r:id="rId13"/>
          <w:footerReference w:type="default" r:id="rId23"/>
          <w:footnotePr/>
          <w:endnotePr/>
          <w:type w:val="nextPage"/>
          <w:pgSz w:w="11907" w:h="16840" w:orient="portrait"/>
          <w:pgMar w:top="1440" w:right="1080" w:bottom="1440" w:left="1080"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p>
    <w:p>
      <w:pPr>
        <w:jc w:val="left"/>
        <w:widowControl/>
        <w:rPr>
          <w:sz w:val="24"/>
          <w:highlight w:val="none"/>
        </w:rPr>
      </w:pPr>
      <w:r>
        <w:rPr>
          <w:color w:val="000000"/>
          <w:sz w:val="24"/>
          <w:szCs w:val="20"/>
          <w:highlight w:val="none"/>
        </w:rPr>
        <w:t xml:space="preserve">2-1中小企业声明函</w:t>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360" w:firstLine="480"/>
        <w:jc w:val="right"/>
        <w:spacing w:line="360" w:lineRule="auto"/>
        <w:rPr>
          <w:color w:val="000000"/>
          <w:sz w:val="24"/>
          <w:highlight w:val="none"/>
        </w:rPr>
      </w:pPr>
      <w:r>
        <w:rPr>
          <w:color w:val="000000" w:themeColor="text1"/>
          <w:highlight w:val="none"/>
          <w14:textFill>
            <w14:solidFill>
              <w14:schemeClr w14:val="tx1"/>
            </w14:solidFill>
          </w14:textFill>
        </w:rPr>
        <w:br w:type="page" w:clear="all"/>
      </w:r>
      <w:r/>
    </w:p>
    <w:p>
      <w:pPr>
        <w:spacing w:line="360" w:lineRule="auto"/>
        <w:rPr>
          <w:color w:val="000000"/>
          <w:sz w:val="24"/>
          <w:szCs w:val="20"/>
          <w:highlight w:val="none"/>
        </w:rPr>
        <w:outlineLvl w:val="2"/>
      </w:pPr>
      <w:r>
        <w:rPr>
          <w:color w:val="000000"/>
          <w:sz w:val="24"/>
          <w:szCs w:val="20"/>
          <w:highlight w:val="none"/>
        </w:rPr>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spacing w:line="360" w:lineRule="auto"/>
        <w:tabs>
          <w:tab w:val="left" w:pos="8280" w:leader="none"/>
        </w:tabs>
        <w:rPr>
          <w:color w:val="000000"/>
          <w:sz w:val="24"/>
          <w:szCs w:val="20"/>
          <w:highlight w:val="none"/>
        </w:rPr>
      </w:pPr>
      <w:r>
        <w:rPr>
          <w:color w:val="000000"/>
          <w:sz w:val="24"/>
          <w:szCs w:val="20"/>
          <w:highlight w:val="none"/>
        </w:rPr>
        <w:br w:type="page" w:clear="all"/>
      </w:r>
      <w:r>
        <w:rPr>
          <w:color w:val="000000"/>
          <w:sz w:val="24"/>
          <w:szCs w:val="20"/>
          <w:highlight w:val="none"/>
        </w:rPr>
        <w:t xml:space="preserve">2-3 </w:t>
      </w:r>
      <w:r>
        <w:rPr>
          <w:sz w:val="24"/>
          <w:highlight w:val="none"/>
        </w:rPr>
        <w:t xml:space="preserve">其它落实政府采购政策的资格要求</w:t>
      </w:r>
      <w:r>
        <w:rPr>
          <w:color w:val="000000"/>
          <w:sz w:val="24"/>
          <w:szCs w:val="20"/>
          <w:highlight w:val="none"/>
        </w:rPr>
        <w:t xml:space="preserve">（如有）</w:t>
      </w:r>
      <w:r/>
    </w:p>
    <w:p>
      <w:pPr>
        <w:spacing w:line="360" w:lineRule="auto"/>
        <w:tabs>
          <w:tab w:val="left" w:pos="8280" w:leader="none"/>
        </w:tabs>
        <w:rPr>
          <w:sz w:val="24"/>
          <w:highlight w:val="none"/>
        </w:rPr>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spacing w:line="360" w:lineRule="auto"/>
        <w:rPr>
          <w:sz w:val="24"/>
          <w:szCs w:val="20"/>
          <w:highlight w:val="none"/>
        </w:rPr>
      </w:pP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t xml:space="preserve">：/</w:t>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ind w:left="719" w:hanging="240"/>
        <w:spacing w:line="360" w:lineRule="auto"/>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sz w:val="24"/>
          <w:szCs w:val="20"/>
          <w:highlight w:val="none"/>
        </w:rPr>
        <w:br w:type="page" w:clear="all"/>
      </w:r>
      <w:bookmarkStart w:id="816" w:name="_Toc150774761"/>
      <w:r/>
      <w:bookmarkStart w:id="817" w:name="_Ref467988698"/>
      <w:r/>
      <w:bookmarkStart w:id="818" w:name="_Toc195842921"/>
      <w:r/>
      <w:bookmarkStart w:id="819" w:name="_Toc226965746"/>
      <w:r/>
      <w:bookmarkStart w:id="820" w:name="_Toc480942349"/>
      <w:r/>
      <w:bookmarkStart w:id="821" w:name="_Toc226337252"/>
      <w:r/>
      <w:bookmarkStart w:id="822" w:name="_Toc226309800"/>
      <w:r/>
      <w:bookmarkStart w:id="823" w:name="_Toc142311058"/>
      <w:r/>
      <w:bookmarkStart w:id="824" w:name="_Toc127151556"/>
      <w:r/>
      <w:bookmarkStart w:id="825" w:name="_Toc520356217"/>
      <w:r/>
      <w:bookmarkStart w:id="826" w:name="_Toc150480794"/>
      <w:r/>
      <w:bookmarkStart w:id="827" w:name="_Toc22696582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rFonts w:hint="eastAsia"/>
          <w:color w:val="000000"/>
          <w:sz w:val="24"/>
          <w:highlight w:val="none"/>
        </w:rPr>
        <w:t xml:space="preserve">函</w:t>
      </w:r>
      <w:r>
        <w:rPr>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szCs w:val="20"/>
          <w:highlight w:val="none"/>
        </w:rPr>
        <w:t xml:space="preserve">9</w:t>
      </w:r>
      <w:r>
        <w:rPr>
          <w:rFonts w:hint="eastAsia"/>
          <w:sz w:val="24"/>
          <w:highlight w:val="none"/>
        </w:rPr>
        <w:t xml:space="preserve">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p>
    <w:p>
      <w:pPr>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jc w:val="left"/>
        <w:widowControl/>
        <w:rPr>
          <w:color w:val="000000"/>
          <w:sz w:val="24"/>
          <w:highlight w:val="none"/>
        </w:rPr>
      </w:pPr>
      <w:r/>
      <w:bookmarkStart w:id="828" w:name="_Hlt520355938"/>
      <w:r/>
      <w:bookmarkEnd w:id="828"/>
      <w:r/>
      <w:bookmarkStart w:id="829" w:name="_Hlt520356243"/>
      <w:r/>
      <w:bookmarkEnd w:id="829"/>
      <w:r>
        <w:rPr>
          <w:color w:val="000000"/>
          <w:sz w:val="24"/>
          <w:highlight w:val="none"/>
        </w:rPr>
        <w:br w:type="page" w:clear="all"/>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hint="eastAsia" w:ascii="宋体" w:hAnsi="宋体"/>
          <w:sz w:val="24"/>
          <w:highlight w:val="none"/>
        </w:rPr>
      </w:pPr>
      <w:r>
        <w:rPr>
          <w:rFonts w:hint="eastAsia" w:ascii="宋体" w:hAnsi="宋体"/>
          <w:sz w:val="24"/>
          <w:highlight w:val="none"/>
        </w:rPr>
        <w:t xml:space="preserve">单位名称:</w:t>
      </w:r>
      <w:r/>
    </w:p>
    <w:p>
      <w:pPr>
        <w:spacing w:line="560" w:lineRule="exact"/>
        <w:rPr>
          <w:rFonts w:hint="eastAsia" w:ascii="宋体" w:hAnsi="宋体"/>
          <w:sz w:val="24"/>
          <w:highlight w:val="none"/>
        </w:rPr>
      </w:pPr>
      <w:r>
        <w:rPr>
          <w:rFonts w:hint="eastAsia" w:ascii="宋体" w:hAnsi="宋体"/>
          <w:sz w:val="24"/>
          <w:highlight w:val="none"/>
        </w:rPr>
        <w:t xml:space="preserve">地址:</w:t>
      </w:r>
      <w:r/>
    </w:p>
    <w:p>
      <w:pPr>
        <w:spacing w:line="560" w:lineRule="exact"/>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rPr>
          <w:rFonts w:hint="eastAsia"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hint="eastAsia" w:ascii="宋体" w:hAnsi="宋体"/>
          <w:sz w:val="24"/>
          <w:highlight w:val="none"/>
        </w:rPr>
      </w:pPr>
      <w:r>
        <w:rPr>
          <w:rFonts w:hint="eastAsia" w:ascii="宋体" w:hAnsi="宋体"/>
          <w:sz w:val="24"/>
          <w:highlight w:val="none"/>
        </w:rPr>
        <w:t xml:space="preserve">特此证明。</w:t>
      </w:r>
      <w:r/>
    </w:p>
    <w:p>
      <w:pPr>
        <w:spacing w:line="560" w:lineRule="exact"/>
        <w:rPr>
          <w:rFonts w:hint="eastAsia" w:ascii="宋体" w:hAnsi="宋体"/>
          <w:sz w:val="24"/>
          <w:highlight w:val="none"/>
        </w:rPr>
      </w:pPr>
      <w:r>
        <w:rPr>
          <w:rFonts w:hint="eastAsia" w:ascii="宋体" w:hAnsi="宋体"/>
          <w:sz w:val="24"/>
          <w:highlight w:val="none"/>
        </w:rPr>
      </w:r>
      <w:r/>
    </w:p>
    <w:p>
      <w:pPr>
        <w:pStyle w:val="1252"/>
        <w:ind w:right="-46"/>
        <w:spacing w:line="583" w:lineRule="auto"/>
        <w:rPr>
          <w:rFonts w:hint="eastAsia"/>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10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tc>
      </w:tr>
    </w:tbl>
    <w:p>
      <w:pPr>
        <w:spacing w:line="560" w:lineRule="exact"/>
        <w:rPr>
          <w:rFonts w:hint="eastAsia" w:ascii="宋体" w:hAnsi="宋体"/>
          <w:sz w:val="24"/>
          <w:highlight w:val="none"/>
        </w:rPr>
      </w:pPr>
      <w:r>
        <w:rPr>
          <w:rFonts w:hint="eastAsia" w:ascii="宋体" w:hAnsi="宋体"/>
          <w:sz w:val="24"/>
          <w:highlight w:val="none"/>
        </w:rPr>
        <w:t xml:space="preserve">                     投标人：（加盖公章）</w:t>
      </w:r>
      <w:r/>
    </w:p>
    <w:p>
      <w:pP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hint="eastAsia" w:ascii="宋体" w:hAnsi="宋体"/>
          <w:sz w:val="24"/>
          <w:highlight w:val="none"/>
        </w:rPr>
      </w:pPr>
      <w:r>
        <w:rPr>
          <w:rFonts w:hint="eastAsia" w:ascii="宋体" w:hAnsi="宋体"/>
          <w:sz w:val="24"/>
          <w:highlight w:val="none"/>
        </w:rPr>
        <w:t xml:space="preserve">日期：    年    月    日</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hint="eastAsia"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pPr>
      <w:r>
        <w:rPr>
          <w:color w:val="000000"/>
          <w:sz w:val="24"/>
          <w:highlight w:val="none"/>
        </w:rPr>
      </w:r>
      <w:r/>
    </w:p>
    <w:p>
      <w:pPr>
        <w:jc w:val="left"/>
        <w:widowControl/>
        <w:rPr>
          <w:color w:val="000000"/>
          <w:sz w:val="24"/>
          <w:highlight w:val="none"/>
        </w:rPr>
        <w:sectPr>
          <w:headerReference w:type="even" r:id="rId14"/>
          <w:headerReference w:type="first" r:id="rId15"/>
          <w:footerReference w:type="even" r:id="rId24"/>
          <w:footerReference w:type="first" r:id="rId25"/>
          <w:footnotePr/>
          <w:endnotePr/>
          <w:type w:val="nextPage"/>
          <w:pgSz w:w="11907" w:h="16840" w:orient="portrait"/>
          <w:pgMar w:top="1440" w:right="1080" w:bottom="1440" w:left="1080" w:header="851" w:footer="851" w:gutter="0"/>
          <w:cols w:num="1" w:sep="0" w:space="1701" w:equalWidth="1"/>
          <w:docGrid w:linePitch="360"/>
        </w:sectPr>
      </w:pPr>
      <w:r>
        <w:rPr>
          <w:color w:val="000000"/>
          <w:sz w:val="24"/>
          <w:highlight w:val="none"/>
        </w:rPr>
      </w:r>
      <w:r/>
    </w:p>
    <w:p>
      <w:pPr>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授权委托书</w:t>
      </w:r>
      <w:r/>
    </w:p>
    <w:p>
      <w:pPr>
        <w:spacing w:line="400" w:lineRule="exact"/>
        <w:rPr>
          <w:rFonts w:hint="eastAsia" w:ascii="宋体" w:hAnsi="宋体" w:cs="宋体"/>
          <w:sz w:val="24"/>
          <w:highlight w:val="none"/>
        </w:rPr>
      </w:pPr>
      <w:r>
        <w:rPr>
          <w:rFonts w:hint="eastAsia" w:ascii="宋体" w:hAnsi="宋体" w:cs="宋体"/>
          <w:sz w:val="24"/>
          <w:highlight w:val="none"/>
        </w:rPr>
      </w:r>
      <w:r/>
    </w:p>
    <w:p>
      <w:pPr>
        <w:pStyle w:val="1243"/>
        <w:ind w:firstLine="0"/>
        <w:spacing w:line="560" w:lineRule="exact"/>
        <w:rPr>
          <w:rFonts w:hint="eastAsia" w:hAnsi="宋体" w:cs="宋体"/>
          <w:highlight w:val="none"/>
          <w:u w:val="single"/>
        </w:rPr>
      </w:pPr>
      <w:r>
        <w:rPr>
          <w:rFonts w:hint="eastAsia" w:hAnsi="宋体" w:cs="宋体"/>
          <w:highlight w:val="none"/>
        </w:rPr>
        <w:t xml:space="preserve">致：</w:t>
      </w:r>
      <w:r>
        <w:rPr>
          <w:rFonts w:hint="eastAsia" w:hAnsi="宋体" w:cs="宋体"/>
          <w:highlight w:val="none"/>
          <w:u w:val="single"/>
        </w:rPr>
        <w:t xml:space="preserve">   （采购人名称）   </w:t>
      </w:r>
      <w:r>
        <w:rPr>
          <w:rFonts w:hint="eastAsia" w:hAnsi="宋体" w:cs="宋体"/>
          <w:highlight w:val="none"/>
        </w:rPr>
        <w:t xml:space="preserve">、</w:t>
      </w:r>
      <w:r>
        <w:rPr>
          <w:rFonts w:hint="eastAsia" w:hAnsi="宋体" w:cs="宋体"/>
          <w:highlight w:val="none"/>
          <w:u w:val="single"/>
          <w:lang w:eastAsia="zh-CN"/>
        </w:rPr>
        <w:t xml:space="preserve">江苏华溯工程项目管理有限公司</w:t>
      </w:r>
      <w:r>
        <w:rPr>
          <w:rFonts w:hint="eastAsia" w:hAnsi="宋体" w:cs="宋体"/>
          <w:highlight w:val="none"/>
        </w:rPr>
        <w:t xml:space="preserve">：</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本授权委托书宣告：本人</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（法定代表人姓名）</w:t>
      </w:r>
      <w:r>
        <w:rPr>
          <w:rFonts w:hint="eastAsia" w:ascii="宋体" w:hAnsi="宋体" w:cs="宋体"/>
          <w:sz w:val="24"/>
          <w:highlight w:val="none"/>
        </w:rPr>
        <w:t xml:space="preserve">系</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（投标单位名称）</w:t>
      </w:r>
      <w:r>
        <w:rPr>
          <w:rFonts w:hint="eastAsia" w:ascii="宋体" w:hAnsi="宋体" w:cs="宋体"/>
          <w:sz w:val="24"/>
          <w:highlight w:val="none"/>
        </w:rPr>
        <w:t xml:space="preserve">的法定代表人，现授权委托</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（被授权人姓名）</w:t>
      </w:r>
      <w:r>
        <w:rPr>
          <w:rFonts w:hint="eastAsia" w:ascii="宋体" w:hAnsi="宋体" w:cs="宋体"/>
          <w:sz w:val="24"/>
          <w:highlight w:val="none"/>
        </w:rPr>
        <w:t xml:space="preserve">为我单位代理人，该代理人有权在</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委托期限：至本项目结束或新的授权委托书送到之日。代理人无转委托权。</w:t>
      </w:r>
      <w:r/>
    </w:p>
    <w:p>
      <w:pPr>
        <w:ind w:firstLine="480"/>
        <w:spacing w:line="400" w:lineRule="exact"/>
        <w:rPr>
          <w:rFonts w:hint="eastAsia" w:ascii="宋体" w:hAnsi="宋体" w:cs="宋体"/>
          <w:sz w:val="24"/>
          <w:highlight w:val="none"/>
        </w:rPr>
      </w:pPr>
      <w:r>
        <w:rPr>
          <w:rFonts w:hint="eastAsia" w:ascii="宋体" w:hAnsi="宋体" w:cs="宋体"/>
          <w:sz w:val="24"/>
          <w:highlight w:val="none"/>
        </w:rPr>
      </w:r>
      <w:r/>
    </w:p>
    <w:p>
      <w:pPr>
        <w:spacing w:line="560" w:lineRule="exact"/>
        <w:rPr>
          <w:rFonts w:hint="eastAsia" w:ascii="宋体" w:hAnsi="宋体" w:cs="宋体"/>
          <w:sz w:val="24"/>
          <w:highlight w:val="none"/>
        </w:rPr>
      </w:pPr>
      <w:r>
        <w:rPr>
          <w:rFonts w:hint="eastAsia" w:ascii="宋体" w:hAnsi="宋体" w:cs="宋体"/>
          <w:sz w:val="24"/>
          <w:highlight w:val="none"/>
        </w:rPr>
        <w:t xml:space="preserve">附：法定代表人（单位负责人）、被授权人有效期内的身份证正反面电子件。</w:t>
      </w:r>
      <w:r/>
    </w:p>
    <w:tbl>
      <w:tblPr>
        <w:tblStyle w:val="104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8"/>
      </w:tblGrid>
      <w:tr>
        <w:trPr>
          <w:trHeight w:val="1964"/>
        </w:trPr>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r>
      <w:tr>
        <w:trPr>
          <w:trHeight w:val="2345"/>
        </w:trPr>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c>
          <w:tcPr>
            <w:tcW w:w="2500" w:type="dxa"/>
            <w:textDirection w:val="lrTb"/>
            <w:noWrap w:val="false"/>
          </w:tcPr>
          <w:p>
            <w:pPr>
              <w:pStyle w:val="1252"/>
              <w:ind w:right="-46"/>
              <w:spacing w:line="583" w:lineRule="auto"/>
              <w:rPr>
                <w:rFonts w:hint="eastAsia" w:cs="宋体"/>
                <w:spacing w:val="-3"/>
                <w:highlight w:val="none"/>
              </w:rPr>
            </w:pPr>
            <w:r>
              <w:rPr>
                <w:rFonts w:hint="eastAsia" w:cs="宋体"/>
                <w:spacing w:val="-3"/>
                <w:highlight w:val="none"/>
              </w:rPr>
            </w:r>
            <w:r/>
          </w:p>
        </w:tc>
      </w:tr>
    </w:tbl>
    <w:p>
      <w:pPr>
        <w:jc w:val="center"/>
        <w:spacing w:line="560" w:lineRule="exact"/>
        <w:rPr>
          <w:rFonts w:hint="eastAsia" w:ascii="宋体" w:hAnsi="宋体"/>
          <w:sz w:val="24"/>
          <w:highlight w:val="none"/>
        </w:rPr>
      </w:pPr>
      <w:r>
        <w:rPr>
          <w:rFonts w:hint="eastAsia" w:ascii="宋体" w:hAnsi="宋体"/>
          <w:sz w:val="24"/>
          <w:highlight w:val="none"/>
        </w:rPr>
        <w:t xml:space="preserve">投标人：（加盖公章）</w:t>
      </w:r>
      <w:r/>
    </w:p>
    <w:p>
      <w:pPr>
        <w:jc w:val="center"/>
        <w:spacing w:line="560" w:lineRule="exact"/>
        <w:rPr>
          <w:rFonts w:hint="eastAsia"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jc w:val="center"/>
        <w:spacing w:line="560" w:lineRule="exact"/>
        <w:widowControl/>
        <w:rPr>
          <w:rFonts w:hint="eastAsia" w:ascii="宋体" w:hAnsi="宋体"/>
          <w:sz w:val="24"/>
          <w:highlight w:val="none"/>
        </w:rPr>
      </w:pPr>
      <w:r>
        <w:rPr>
          <w:rFonts w:hint="eastAsia" w:ascii="宋体" w:hAnsi="宋体"/>
          <w:sz w:val="24"/>
          <w:highlight w:val="none"/>
        </w:rPr>
        <w:t xml:space="preserve">             日期：    年    月    日</w:t>
      </w:r>
      <w:r/>
    </w:p>
    <w:p>
      <w:pPr>
        <w:jc w:val="left"/>
        <w:spacing w:line="560" w:lineRule="exac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rFonts w:hint="eastAsia" w:ascii="宋体" w:hAnsi="宋体"/>
          <w:sz w:val="24"/>
          <w:highlight w:val="none"/>
        </w:rPr>
      </w:pPr>
      <w:r>
        <w:rPr>
          <w:rFonts w:hint="eastAsia" w:ascii="宋体" w:hAnsi="宋体"/>
          <w:sz w:val="24"/>
          <w:highlight w:val="none"/>
        </w:rPr>
      </w:r>
      <w:r/>
    </w:p>
    <w:p>
      <w:pPr>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hint="eastAsia"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hint="eastAsia"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hint="eastAsia"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hint="eastAsia"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hint="eastAsia"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471"/>
        <w:ind w:right="1050" w:firstLine="2880"/>
        <w:jc w:val="both"/>
        <w:spacing w:line="276" w:lineRule="auto"/>
        <w:rPr>
          <w:rFonts w:hint="eastAsia" w:ascii="宋体" w:hAnsi="宋体" w:eastAsia="宋体"/>
          <w:sz w:val="24"/>
          <w:szCs w:val="22"/>
          <w:highlight w:val="none"/>
        </w:rPr>
      </w:pPr>
      <w:r>
        <w:rPr>
          <w:rFonts w:hint="eastAsia"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left"/>
        <w:widowControl/>
        <w:rPr>
          <w:color w:val="000000"/>
          <w:sz w:val="24"/>
          <w:szCs w:val="20"/>
          <w:highlight w:val="none"/>
        </w:rPr>
      </w:pPr>
      <w:r/>
      <w:bookmarkStart w:id="830" w:name="_Hlt520274407"/>
      <w:r/>
      <w:bookmarkEnd w:id="830"/>
      <w:r/>
      <w:bookmarkStart w:id="831" w:name="_Hlt520355504"/>
      <w:r/>
      <w:bookmarkEnd w:id="831"/>
      <w:r/>
      <w:bookmarkStart w:id="832" w:name="_Hlt520271212"/>
      <w:r/>
      <w:bookmarkEnd w:id="832"/>
      <w:r/>
      <w:bookmarkStart w:id="833" w:name="_Hlt520273711"/>
      <w:r/>
      <w:bookmarkEnd w:id="833"/>
      <w:r/>
      <w:bookmarkStart w:id="834" w:name="_Hlt520274121"/>
      <w:r/>
      <w:bookmarkEnd w:id="834"/>
      <w:r/>
      <w:bookmarkStart w:id="835" w:name="_Hlt520350918"/>
      <w:r/>
      <w:bookmarkEnd w:id="835"/>
      <w:r/>
      <w:bookmarkStart w:id="836" w:name="_Hlt520274065"/>
      <w:r/>
      <w:bookmarkEnd w:id="836"/>
      <w:r/>
      <w:bookmarkStart w:id="837" w:name="_Hlt520343392"/>
      <w:r/>
      <w:bookmarkEnd w:id="837"/>
      <w:r/>
      <w:bookmarkStart w:id="838" w:name="_Hlt520274393"/>
      <w:r/>
      <w:bookmarkEnd w:id="838"/>
      <w:r/>
      <w:bookmarkStart w:id="839" w:name="_Hlt520343000"/>
      <w:r/>
      <w:bookmarkEnd w:id="839"/>
      <w:r/>
      <w:bookmarkStart w:id="840" w:name="_Toc226309801"/>
      <w:r/>
      <w:bookmarkStart w:id="841" w:name="_Toc150480795"/>
      <w:r/>
      <w:bookmarkStart w:id="842" w:name="_Toc226965747"/>
      <w:r/>
      <w:bookmarkStart w:id="843" w:name="_Toc305158899"/>
      <w:r/>
      <w:bookmarkStart w:id="844" w:name="_Ref467988705"/>
      <w:r/>
      <w:bookmarkStart w:id="845" w:name="_Toc264969247"/>
      <w:r/>
      <w:bookmarkStart w:id="846" w:name="_Toc195842922"/>
      <w:r/>
      <w:bookmarkStart w:id="847" w:name="_Toc226337253"/>
      <w:r/>
      <w:bookmarkStart w:id="848" w:name="_Toc305158825"/>
      <w:r/>
      <w:bookmarkStart w:id="849" w:name="_Toc265228395"/>
      <w:r/>
      <w:bookmarkStart w:id="850" w:name="_Toc150774762"/>
      <w:r/>
      <w:bookmarkStart w:id="851" w:name="_Toc226965830"/>
      <w:r/>
      <w:bookmarkStart w:id="852" w:name="_Toc127151557"/>
      <w:r/>
      <w:bookmarkStart w:id="853" w:name="_Toc520356218"/>
      <w:r/>
      <w:bookmarkStart w:id="854" w:name="_Toc480942350"/>
      <w:r/>
      <w:bookmarkStart w:id="855" w:name="_Toc142311059"/>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color w:val="000000"/>
          <w:sz w:val="24"/>
          <w:szCs w:val="20"/>
          <w:highlight w:val="none"/>
        </w:rPr>
        <w:t xml:space="preserve">（实质性格式）</w:t>
      </w:r>
      <w:r/>
    </w:p>
    <w:p>
      <w:pPr>
        <w:jc w:val="center"/>
        <w:spacing w:line="360" w:lineRule="exact"/>
        <w:rPr>
          <w:b/>
          <w:color w:val="000000"/>
          <w:sz w:val="36"/>
          <w:szCs w:val="36"/>
          <w:highlight w:val="none"/>
        </w:rPr>
      </w:pPr>
      <w:r/>
      <w:bookmarkStart w:id="856" w:name="_Toc226965831"/>
      <w:r/>
      <w:bookmarkStart w:id="857" w:name="_Toc164608827"/>
      <w:r/>
      <w:bookmarkStart w:id="858" w:name="_Toc265228396"/>
      <w:r/>
      <w:bookmarkStart w:id="859" w:name="_Toc195842923"/>
      <w:r/>
      <w:bookmarkStart w:id="860" w:name="_Toc226309802"/>
      <w:r/>
      <w:bookmarkStart w:id="861" w:name="_Toc164608672"/>
      <w:r/>
      <w:bookmarkStart w:id="862" w:name="_Toc305158900"/>
      <w:r/>
      <w:bookmarkStart w:id="863" w:name="_Toc226337254"/>
      <w:r/>
      <w:bookmarkStart w:id="864" w:name="_Toc264969248"/>
      <w:r/>
      <w:bookmarkStart w:id="865" w:name="_Toc226965748"/>
      <w:r/>
      <w:bookmarkStart w:id="866" w:name="_Toc305158826"/>
      <w:r/>
      <w:r/>
    </w:p>
    <w:p>
      <w:pPr>
        <w:jc w:val="center"/>
        <w:spacing w:line="360" w:lineRule="exact"/>
        <w:rPr>
          <w:b/>
          <w:color w:val="000000"/>
          <w:sz w:val="36"/>
          <w:szCs w:val="36"/>
          <w:highlight w:val="none"/>
        </w:rPr>
      </w:pPr>
      <w:r>
        <w:rPr>
          <w:rFonts w:hint="eastAsia"/>
          <w:b/>
          <w:color w:val="000000"/>
          <w:sz w:val="36"/>
          <w:szCs w:val="36"/>
          <w:highlight w:val="none"/>
        </w:rPr>
        <w:t xml:space="preserve">开标一览表</w:t>
      </w:r>
      <w:bookmarkEnd w:id="856"/>
      <w:r/>
      <w:bookmarkEnd w:id="857"/>
      <w:r/>
      <w:bookmarkEnd w:id="858"/>
      <w:r/>
      <w:bookmarkEnd w:id="859"/>
      <w:r/>
      <w:bookmarkEnd w:id="860"/>
      <w:r/>
      <w:bookmarkEnd w:id="861"/>
      <w:r/>
      <w:bookmarkEnd w:id="862"/>
      <w:r/>
      <w:bookmarkEnd w:id="863"/>
      <w:r/>
      <w:bookmarkEnd w:id="864"/>
      <w:r/>
      <w:bookmarkEnd w:id="865"/>
      <w:r/>
      <w:bookmarkEnd w:id="866"/>
      <w:r/>
      <w:r/>
    </w:p>
    <w:p>
      <w:pPr>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p>
      <w:pPr>
        <w:jc w:val="left"/>
        <w:rPr>
          <w:color w:val="000000"/>
          <w:sz w:val="24"/>
          <w:highlight w:val="none"/>
        </w:rPr>
      </w:pPr>
      <w:r>
        <w:rPr>
          <w:color w:val="000000"/>
          <w:sz w:val="24"/>
          <w:highlight w:val="none"/>
        </w:rPr>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6"/>
        <w:gridCol w:w="1960"/>
        <w:gridCol w:w="1239"/>
        <w:gridCol w:w="2919"/>
      </w:tblGrid>
      <w:tr>
        <w:trPr>
          <w:jc w:val="center"/>
          <w:trHeight w:val="531"/>
        </w:trPr>
        <w:tc>
          <w:tcPr>
            <w:tcW w:w="496"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960" w:type="dxa"/>
            <w:vAlign w:val="center"/>
            <w:vMerge w:val="restart"/>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供应商名称</w:t>
            </w:r>
            <w:r/>
          </w:p>
        </w:tc>
        <w:tc>
          <w:tcPr>
            <w:gridSpan w:val="2"/>
            <w:tcW w:w="4158"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报价（元）</w:t>
            </w:r>
            <w:r/>
          </w:p>
        </w:tc>
      </w:tr>
      <w:tr>
        <w:trPr>
          <w:jc w:val="center"/>
          <w:trHeight w:val="674"/>
        </w:trPr>
        <w:tc>
          <w:tcPr>
            <w:tcW w:w="810"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大写</w:t>
            </w:r>
            <w:r/>
          </w:p>
        </w:tc>
        <w:tc>
          <w:tcPr>
            <w:tcW w:w="1304" w:type="dxa"/>
            <w:vAlign w:val="center"/>
            <w:textDirection w:val="lrTb"/>
            <w:noWrap w:val="false"/>
          </w:tcPr>
          <w:p>
            <w:pPr>
              <w:jc w:val="center"/>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小写</w:t>
            </w:r>
            <w:r/>
          </w:p>
        </w:tc>
      </w:tr>
      <w:tr>
        <w:trPr>
          <w:jc w:val="center"/>
          <w:trHeight w:val="976"/>
        </w:trPr>
        <w:tc>
          <w:tcPr>
            <w:tcW w:w="496"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960"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239"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1304" w:type="dxa"/>
            <w:vAlign w:val="center"/>
            <w:textDirection w:val="lrTb"/>
            <w:noWrap w:val="false"/>
          </w:tcPr>
          <w:p>
            <w:pPr>
              <w:jc w:val="center"/>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jc w:val="left"/>
        <w:rPr>
          <w:color w:val="000000"/>
          <w:sz w:val="24"/>
          <w:highlight w:val="none"/>
        </w:rPr>
      </w:pPr>
      <w:r>
        <w:rPr>
          <w:color w:val="000000"/>
          <w:sz w:val="24"/>
          <w:highlight w:val="none"/>
        </w:rPr>
      </w:r>
      <w:r/>
    </w:p>
    <w:p>
      <w:pPr>
        <w:spacing w:before="25" w:after="25" w:line="360" w:lineRule="auto"/>
        <w:rPr>
          <w:color w:val="000000"/>
          <w:sz w:val="24"/>
          <w:highlight w:val="none"/>
          <w:lang w:val="zh-CN"/>
        </w:rPr>
      </w:pPr>
      <w:r>
        <w:rPr>
          <w:rFonts w:hint="eastAsia"/>
          <w:color w:val="000000"/>
          <w:sz w:val="24"/>
          <w:highlight w:val="none"/>
          <w:lang w:val="zh-CN"/>
        </w:rPr>
        <w:t xml:space="preserve">注：1.</w:t>
      </w:r>
      <w:r>
        <w:rPr>
          <w:rFonts w:hint="eastAsia"/>
          <w:color w:val="000000"/>
          <w:sz w:val="24"/>
          <w:highlight w:val="none"/>
        </w:rPr>
        <w:t xml:space="preserve">投标单位</w:t>
      </w:r>
      <w:r>
        <w:rPr>
          <w:rFonts w:hint="eastAsia"/>
          <w:color w:val="000000"/>
          <w:sz w:val="24"/>
          <w:highlight w:val="none"/>
          <w:lang w:val="zh-CN"/>
        </w:rPr>
        <w:t xml:space="preserve">在提交投标文件时，应按照投标工具（苏采云客户端）的提示流程编制提交开标一览表，开标一览表格式以投标工具中的为准。</w:t>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jc w:val="center"/>
        <w:rPr>
          <w:color w:val="000000"/>
          <w:sz w:val="24"/>
          <w:szCs w:val="20"/>
          <w:highlight w:val="none"/>
        </w:rPr>
      </w:pPr>
      <w:r/>
      <w:bookmarkStart w:id="867" w:name="_Toc127151558"/>
      <w:r/>
      <w:bookmarkStart w:id="868" w:name="_Toc150774763"/>
      <w:r/>
      <w:bookmarkStart w:id="869" w:name="_Toc226309803"/>
      <w:r/>
      <w:bookmarkStart w:id="870" w:name="_Toc264969249"/>
      <w:r/>
      <w:bookmarkStart w:id="871" w:name="_Toc305158901"/>
      <w:r/>
      <w:bookmarkStart w:id="872" w:name="_Toc265228397"/>
      <w:r/>
      <w:bookmarkStart w:id="873" w:name="_Toc305158827"/>
      <w:r/>
      <w:bookmarkStart w:id="874" w:name="_Toc195842924"/>
      <w:r/>
      <w:bookmarkStart w:id="875" w:name="_Toc226965749"/>
      <w:r/>
      <w:bookmarkStart w:id="876" w:name="_Toc150480796"/>
      <w:r/>
      <w:bookmarkStart w:id="877" w:name="_Toc226965832"/>
      <w:r/>
      <w:bookmarkStart w:id="878" w:name="_Toc142311060"/>
      <w:r/>
      <w:bookmarkStart w:id="879" w:name="_Toc226337255"/>
      <w:r/>
      <w:r/>
    </w:p>
    <w:p>
      <w:pPr>
        <w:jc w:val="center"/>
        <w:rPr>
          <w:color w:val="000000"/>
          <w:sz w:val="24"/>
          <w:szCs w:val="20"/>
          <w:highlight w:val="none"/>
        </w:rPr>
      </w:pPr>
      <w:r>
        <w:rPr>
          <w:color w:val="000000"/>
          <w:sz w:val="24"/>
          <w:szCs w:val="20"/>
          <w:highlight w:val="none"/>
        </w:rPr>
        <w:br w:type="page" w:clear="all"/>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r/>
    </w:p>
    <w:p>
      <w:pPr>
        <w:jc w:val="left"/>
        <w:rPr>
          <w:color w:val="000000"/>
          <w:sz w:val="24"/>
          <w:szCs w:val="20"/>
          <w:highlight w:val="none"/>
        </w:rPr>
      </w:pPr>
      <w:r>
        <w:rPr>
          <w:rFonts w:hint="eastAsia"/>
          <w:color w:val="000000"/>
          <w:sz w:val="24"/>
          <w:szCs w:val="20"/>
          <w:highlight w:val="none"/>
        </w:rPr>
        <w:t xml:space="preserve">5 分项报价表</w:t>
      </w:r>
      <w:r/>
    </w:p>
    <w:p>
      <w:pPr>
        <w:jc w:val="center"/>
        <w:rPr>
          <w:b/>
          <w:color w:val="000000"/>
          <w:sz w:val="36"/>
          <w:szCs w:val="36"/>
          <w:highlight w:val="none"/>
        </w:rPr>
      </w:pPr>
      <w:r>
        <w:rPr>
          <w:rFonts w:hint="eastAsia"/>
          <w:b/>
          <w:color w:val="000000"/>
          <w:sz w:val="36"/>
          <w:szCs w:val="36"/>
          <w:highlight w:val="none"/>
        </w:rPr>
        <w:t xml:space="preserve">分项报价表</w:t>
      </w:r>
      <w:r/>
    </w:p>
    <w:p>
      <w:pPr>
        <w:tabs>
          <w:tab w:val="left" w:pos="1800" w:leader="none"/>
          <w:tab w:val="left" w:pos="5580" w:leader="none"/>
        </w:tabs>
        <w:rPr>
          <w:color w:val="000000"/>
          <w:sz w:val="24"/>
          <w:highlight w:val="none"/>
        </w:rPr>
      </w:pPr>
      <w:r/>
      <w:bookmarkStart w:id="880" w:name="_Toc305158830"/>
      <w:r/>
      <w:bookmarkStart w:id="881" w:name="_Toc265228400"/>
      <w:r/>
      <w:bookmarkStart w:id="882" w:name="_Toc127151562"/>
      <w:r/>
      <w:bookmarkStart w:id="883" w:name="_Toc226309806"/>
      <w:r/>
      <w:bookmarkStart w:id="884" w:name="_Toc195842927"/>
      <w:r/>
      <w:bookmarkStart w:id="885" w:name="_Toc226337258"/>
      <w:r/>
      <w:bookmarkStart w:id="886" w:name="_Toc150774765"/>
      <w:r/>
      <w:bookmarkStart w:id="887" w:name="_Toc226965752"/>
      <w:r/>
      <w:bookmarkStart w:id="888" w:name="_Toc305158904"/>
      <w:r/>
      <w:bookmarkStart w:id="889" w:name="_Toc264969252"/>
      <w:r/>
      <w:bookmarkStart w:id="890" w:name="_Toc150480798"/>
      <w:r/>
      <w:bookmarkStart w:id="891" w:name="_Toc226965835"/>
      <w:r/>
      <w:bookmarkStart w:id="892" w:name="_Toc142311062"/>
      <w:r/>
      <w:bookmarkStart w:id="893" w:name="_Toc226309805"/>
      <w:r/>
      <w:bookmarkStart w:id="894" w:name="_Toc226337257"/>
      <w:r/>
      <w:bookmarkStart w:id="895" w:name="_Toc150480797"/>
      <w:r/>
      <w:bookmarkStart w:id="896" w:name="_Toc265228399"/>
      <w:r/>
      <w:bookmarkStart w:id="897" w:name="_Toc264969251"/>
      <w:r/>
      <w:bookmarkStart w:id="898" w:name="_Toc142311061"/>
      <w:r/>
      <w:bookmarkStart w:id="899" w:name="_Toc305158903"/>
      <w:r/>
      <w:bookmarkStart w:id="900" w:name="_Toc226965834"/>
      <w:r/>
      <w:bookmarkStart w:id="901" w:name="_Toc195842926"/>
      <w:r/>
      <w:bookmarkStart w:id="902" w:name="_Toc226965751"/>
      <w:r/>
      <w:bookmarkStart w:id="903" w:name="_Toc305158829"/>
      <w:r/>
      <w:bookmarkStart w:id="904" w:name="_Toc127151561"/>
      <w:r/>
      <w:bookmarkStart w:id="905" w:name="_Toc150774764"/>
      <w:r>
        <w:rPr>
          <w:color w:val="000000"/>
          <w:sz w:val="24"/>
          <w:highlight w:val="none"/>
        </w:rPr>
        <w:t xml:space="preserve">项目编号/包号：___________ 项目名称：__________报价单位：人民币元</w:t>
      </w:r>
      <w:r/>
    </w:p>
    <w:tbl>
      <w:tblPr>
        <w:tblStyle w:val="1043"/>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highlight w:val="none"/>
              </w:rPr>
            </w:pPr>
            <w:r>
              <w:rPr>
                <w:rFonts w:hint="eastAsia" w:ascii="宋体" w:hAnsi="宋体" w:cs="Arial"/>
                <w:b/>
                <w:bCs/>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sz w:val="24"/>
                <w:highlight w:val="none"/>
              </w:rPr>
            </w:pPr>
            <w:r>
              <w:rPr>
                <w:rFonts w:hint="eastAsia" w:ascii="宋体" w:hAnsi="宋体" w:cs="Arial"/>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rPr>
        <w:t xml:space="preserve">招标</w:t>
      </w:r>
      <w:r>
        <w:rPr>
          <w:color w:val="000000"/>
          <w:sz w:val="24"/>
          <w:highlight w:val="none"/>
        </w:rPr>
        <w:t xml:space="preserve">文件</w:t>
      </w:r>
      <w:r/>
    </w:p>
    <w:p>
      <w:pPr>
        <w:ind w:firstLine="480"/>
        <w:jc w:val="left"/>
        <w:tabs>
          <w:tab w:val="left" w:pos="1800" w:leader="none"/>
          <w:tab w:val="left" w:pos="5580" w:leader="none"/>
        </w:tabs>
        <w:rPr>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pStyle w:val="1035"/>
        <w:rPr>
          <w:highlight w:val="none"/>
        </w:rPr>
        <w:sectPr>
          <w:headerReference w:type="even" r:id="rId16"/>
          <w:headerReference w:type="first" r:id="rId17"/>
          <w:footerReference w:type="even" r:id="rId26"/>
          <w:footerReference w:type="first" r:id="rId27"/>
          <w:footnotePr/>
          <w:endnotePr/>
          <w:type w:val="nextPage"/>
          <w:pgSz w:w="11907" w:h="16840" w:orient="portrait"/>
          <w:pgMar w:top="1417" w:right="1134" w:bottom="1417" w:left="1134" w:header="851" w:footer="851" w:gutter="0"/>
          <w:cols w:num="1" w:sep="0" w:space="1701" w:equalWidth="1"/>
          <w:docGrid w:linePitch="360"/>
        </w:sectPr>
      </w:pPr>
      <w:r>
        <w:rPr>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合同条款偏离表</w:t>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Pr>
          <w:color w:val="000000"/>
          <w:sz w:val="24"/>
          <w:szCs w:val="20"/>
          <w:highlight w:val="none"/>
        </w:rPr>
        <w:t xml:space="preserve">（实质性格式）</w:t>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pStyle w:val="1224"/>
        <w:rPr>
          <w:highlight w:val="none"/>
        </w:rPr>
      </w:pPr>
      <w:r>
        <w:rPr>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w:t>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color w:val="000000"/>
          <w:sz w:val="24"/>
          <w:szCs w:val="20"/>
          <w:highlight w:val="none"/>
        </w:rPr>
        <w:t xml:space="preserve">采购需求偏离表（实质性格式）</w:t>
      </w:r>
      <w:r/>
    </w:p>
    <w:p>
      <w:pPr>
        <w:jc w:val="center"/>
        <w:spacing w:line="360" w:lineRule="auto"/>
        <w:rPr>
          <w:b/>
          <w:color w:val="000000"/>
          <w:sz w:val="36"/>
          <w:szCs w:val="36"/>
          <w:highlight w:val="none"/>
        </w:rPr>
      </w:pPr>
      <w:r>
        <w:rPr>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p>
    <w:tbl>
      <w:tblPr>
        <w:tblStyle w:val="1043"/>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填写“正偏离”或“负偏离”或“无偏离”。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color w:val="000000"/>
          <w:sz w:val="24"/>
          <w:szCs w:val="20"/>
          <w:highlight w:val="none"/>
        </w:rPr>
      </w:pPr>
      <w:r>
        <w:rPr>
          <w:color w:val="000000"/>
          <w:sz w:val="24"/>
          <w:szCs w:val="20"/>
          <w:highlight w:val="none"/>
        </w:rPr>
        <w:br w:type="page" w:clear="all"/>
      </w:r>
      <w:r/>
    </w:p>
    <w:p>
      <w:pPr>
        <w:jc w:val="center"/>
        <w:rPr>
          <w:rFonts w:hint="eastAsia" w:ascii="宋体" w:hAnsi="宋体"/>
          <w:b/>
          <w:sz w:val="32"/>
          <w:szCs w:val="32"/>
          <w:highlight w:val="none"/>
        </w:rPr>
      </w:pPr>
      <w:r>
        <w:rPr>
          <w:rFonts w:hint="eastAsia" w:ascii="宋体" w:hAnsi="宋体"/>
          <w:b/>
          <w:sz w:val="32"/>
          <w:szCs w:val="32"/>
          <w:highlight w:val="none"/>
        </w:rPr>
        <w:t xml:space="preserve"> </w:t>
      </w:r>
      <w:r/>
    </w:p>
    <w:p>
      <w:pPr>
        <w:spacing w:line="360" w:lineRule="auto"/>
        <w:rPr>
          <w:rFonts w:hint="eastAsia" w:ascii="Times New Roman" w:hAnsi="Times New Roman" w:eastAsia="宋体" w:cs="Times New Roman"/>
          <w:color w:val="000000"/>
          <w:sz w:val="24"/>
          <w:szCs w:val="20"/>
          <w:highlight w:val="none"/>
          <w:lang w:val="en-US" w:eastAsia="zh-CN"/>
        </w:rPr>
        <w:outlineLvl w:val="2"/>
      </w:pPr>
      <w:r>
        <w:rPr>
          <w:rFonts w:hint="eastAsia" w:ascii="Times New Roman" w:hAnsi="Times New Roman" w:eastAsia="宋体" w:cs="Times New Roman"/>
          <w:color w:val="000000"/>
          <w:sz w:val="24"/>
          <w:szCs w:val="20"/>
          <w:highlight w:val="none"/>
          <w:lang w:val="en-US" w:eastAsia="zh-CN"/>
        </w:rPr>
        <w:t xml:space="preserve">实质性条款偏离表</w:t>
      </w:r>
      <w:r/>
    </w:p>
    <w:p>
      <w:pPr>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lang w:val="en-US" w:eastAsia="zh-CN"/>
        </w:rPr>
        <w:t xml:space="preserve">实质性条款偏离表</w:t>
      </w:r>
      <w:r/>
    </w:p>
    <w:tbl>
      <w:tblPr>
        <w:tblStyle w:val="1043"/>
        <w:tblW w:w="9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5248"/>
        <w:gridCol w:w="1501"/>
        <w:gridCol w:w="1188"/>
        <w:gridCol w:w="898"/>
      </w:tblGrid>
      <w:tr>
        <w:trPr>
          <w:jc w:val="cente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bookmarkStart w:id="906" w:name="_Hlk72092651"/>
            <w:r>
              <w:rPr>
                <w:rFonts w:hint="eastAsia" w:ascii="宋体" w:hAnsi="宋体" w:eastAsia="宋体" w:cs="宋体"/>
                <w:b/>
                <w:bCs/>
                <w:sz w:val="24"/>
                <w:szCs w:val="24"/>
                <w:highlight w:val="none"/>
              </w:rPr>
              <w:t xml:space="preserve">序号</w:t>
            </w:r>
            <w:r/>
          </w:p>
        </w:tc>
        <w:tc>
          <w:tcPr>
            <w:tcW w:w="524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实质性条款具体内容</w:t>
            </w:r>
            <w:r/>
          </w:p>
        </w:tc>
        <w:tc>
          <w:tcPr>
            <w:tcW w:w="150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投标响应</w:t>
            </w:r>
            <w:r/>
          </w:p>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情况</w:t>
            </w:r>
            <w:r/>
          </w:p>
        </w:tc>
        <w:tc>
          <w:tcPr>
            <w:tcW w:w="118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偏离</w:t>
            </w:r>
            <w:r/>
          </w:p>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情况</w:t>
            </w:r>
            <w:r/>
          </w:p>
        </w:tc>
        <w:tc>
          <w:tcPr>
            <w:tcW w:w="89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说明</w:t>
            </w:r>
            <w:bookmarkEnd w:id="906"/>
            <w:r/>
            <w:r/>
          </w:p>
        </w:tc>
      </w:tr>
      <w:tr>
        <w:trPr>
          <w:jc w:val="center"/>
          <w:trHeight w:val="41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w:t>
            </w:r>
            <w:r/>
          </w:p>
        </w:tc>
        <w:tc>
          <w:tcPr>
            <w:tcW w:w="5248"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cs="宋体"/>
                <w:sz w:val="28"/>
                <w:szCs w:val="28"/>
                <w:highlight w:val="none"/>
              </w:rPr>
              <w:t xml:space="preserve">满足采购需求加</w:t>
            </w:r>
            <w:r>
              <w:rPr>
                <w:rFonts w:hint="eastAsia" w:ascii="宋体" w:hAnsi="宋体" w:cs="宋体"/>
                <w:color w:val="0000ff"/>
                <w:sz w:val="28"/>
                <w:szCs w:val="28"/>
                <w:highlight w:val="none"/>
              </w:rPr>
              <w:t xml:space="preserve">★</w:t>
            </w:r>
            <w:r>
              <w:rPr>
                <w:rFonts w:hint="eastAsia" w:ascii="宋体" w:hAnsi="宋体" w:cs="宋体"/>
                <w:sz w:val="28"/>
                <w:szCs w:val="28"/>
                <w:highlight w:val="none"/>
              </w:rPr>
              <w:t xml:space="preserve">项条款内容</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2</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作业、SQL账号同步：支持集群各节点业务作业同步；支持集群各节点SQL登录账号同步。</w:t>
            </w:r>
            <w:r>
              <w:rPr>
                <w:rFonts w:hint="eastAsia" w:ascii="宋体" w:hAnsi="宋体" w:cs="宋体"/>
                <w:color w:val="0000ff"/>
                <w:sz w:val="28"/>
                <w:szCs w:val="28"/>
                <w:highlight w:val="none"/>
              </w:rPr>
              <w:t xml:space="preserve">（提供配置作业、SQL账号同步的功能截图证明文件）</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3</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负载均衡：针对查询操作提供负载均衡能力，将应用程序的查询访问在多个节点间有效的均衡负载。</w:t>
            </w:r>
            <w:r>
              <w:rPr>
                <w:rFonts w:hint="eastAsia" w:ascii="宋体" w:hAnsi="宋体" w:cs="宋体"/>
                <w:color w:val="0000ff"/>
                <w:sz w:val="28"/>
                <w:szCs w:val="28"/>
                <w:highlight w:val="none"/>
              </w:rPr>
              <w:t xml:space="preserve">（提供配置负载均衡的功能截图证明文件）</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读写分离：通过制定策略重定向SQL，支持将报表类及第三访查询接口指派到集群任意节点，降低主库服务器性能压力，透明实现读写分离操作，无需修改应用程序。</w:t>
            </w:r>
            <w:r>
              <w:rPr>
                <w:rFonts w:hint="eastAsia" w:ascii="宋体" w:hAnsi="宋体" w:cs="宋体"/>
                <w:color w:val="0000ff"/>
                <w:sz w:val="28"/>
                <w:szCs w:val="28"/>
                <w:highlight w:val="none"/>
              </w:rPr>
              <w:t xml:space="preserve">（提供配置读写分离的功能截图证明文件）</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948"/>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5</w:t>
            </w:r>
            <w:r/>
          </w:p>
        </w:tc>
        <w:tc>
          <w:tcPr>
            <w:tcW w:w="5248" w:type="dxa"/>
            <w:vAlign w:val="top"/>
            <w:textDirection w:val="lrTb"/>
            <w:noWrap w:val="false"/>
          </w:tcPr>
          <w:p>
            <w:pPr>
              <w:rPr>
                <w:rFonts w:hint="eastAsia" w:ascii="宋体" w:hAnsi="宋体" w:eastAsia="宋体" w:cs="宋体"/>
                <w:sz w:val="24"/>
                <w:szCs w:val="24"/>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自主知识产权：所选产品，应具有该产品的自主知识产权，使用权归属采购人，</w:t>
            </w:r>
            <w:r>
              <w:rPr>
                <w:rFonts w:hint="eastAsia" w:ascii="宋体" w:hAnsi="宋体" w:cs="宋体"/>
                <w:color w:val="0000ff"/>
                <w:sz w:val="28"/>
                <w:szCs w:val="28"/>
                <w:highlight w:val="none"/>
              </w:rPr>
              <w:t xml:space="preserve">需提供软件著作权证书。</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Height w:val="2455"/>
        </w:trPr>
        <w:tc>
          <w:tcPr>
            <w:tcW w:w="834" w:type="dxa"/>
            <w:vAlign w:val="center"/>
            <w:textDirection w:val="lrTb"/>
            <w:noWrap w:val="false"/>
          </w:tcPr>
          <w:p>
            <w:pPr>
              <w:ind w:left="0" w:right="0" w:firstLine="0"/>
              <w:jc w:val="center"/>
              <w:keepLines w:val="0"/>
              <w:keepNext w:val="0"/>
              <w:spacing w:before="0" w:beforeAutospacing="0" w:after="0" w:afterAutospacing="0"/>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6</w:t>
            </w:r>
            <w:r/>
          </w:p>
        </w:tc>
        <w:tc>
          <w:tcPr>
            <w:tcW w:w="5248" w:type="dxa"/>
            <w:vAlign w:val="top"/>
            <w:textDirection w:val="lrTb"/>
            <w:noWrap w:val="false"/>
          </w:tcPr>
          <w:p>
            <w:pPr>
              <w:rPr>
                <w:rFonts w:hint="eastAsia" w:ascii="宋体" w:hAnsi="宋体" w:cs="宋体"/>
                <w:sz w:val="28"/>
                <w:szCs w:val="28"/>
                <w:highlight w:val="none"/>
              </w:rPr>
            </w:pPr>
            <w:r>
              <w:rPr>
                <w:rFonts w:hint="eastAsia" w:ascii="宋体" w:hAnsi="宋体" w:cs="宋体"/>
                <w:sz w:val="28"/>
                <w:szCs w:val="28"/>
                <w:highlight w:val="none"/>
                <w:lang w:val="zh-TW"/>
              </w:rPr>
              <w:t xml:space="preserve">★</w:t>
            </w:r>
            <w:r>
              <w:rPr>
                <w:rFonts w:hint="eastAsia" w:ascii="宋体" w:hAnsi="宋体" w:cs="宋体"/>
                <w:sz w:val="28"/>
                <w:szCs w:val="28"/>
                <w:highlight w:val="none"/>
              </w:rPr>
              <w:t xml:space="preserve">为保障系统及对应数据库和前台程序能完整快速的迁移到服务器中，需协调软件服务商技术支持人员提供现场技术保障（费用由供应商自行承担），整个切换过程数据 0 丢失，用时不超过15分钟；</w:t>
            </w:r>
            <w:r/>
          </w:p>
          <w:p>
            <w:pPr>
              <w:rPr>
                <w:rFonts w:hint="eastAsia" w:ascii="宋体" w:hAnsi="宋体" w:eastAsia="宋体" w:cs="宋体"/>
                <w:sz w:val="24"/>
                <w:szCs w:val="24"/>
                <w:highlight w:val="none"/>
              </w:rPr>
            </w:pPr>
            <w:r>
              <w:rPr>
                <w:rFonts w:hint="eastAsia" w:ascii="宋体" w:hAnsi="宋体" w:cs="宋体"/>
                <w:color w:val="0000ff"/>
                <w:sz w:val="28"/>
                <w:szCs w:val="28"/>
                <w:highlight w:val="none"/>
              </w:rPr>
              <w:t xml:space="preserve">（供应商提供承诺函满足上述技术规格要求，格式自拟）</w:t>
            </w:r>
            <w:r/>
          </w:p>
        </w:tc>
        <w:tc>
          <w:tcPr>
            <w:tcW w:w="15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11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89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before="25" w:after="25" w:line="360" w:lineRule="auto"/>
        <w:rPr>
          <w:rFonts w:hint="default" w:ascii="Times New Roman" w:hAnsi="Times New Roman" w:eastAsia="宋体" w:cs="Times New Roman"/>
          <w:color w:val="000000"/>
          <w:sz w:val="24"/>
          <w:highlight w:val="none"/>
          <w:lang w:val="zh-CN"/>
        </w:rPr>
      </w:pPr>
      <w:r>
        <w:rPr>
          <w:rFonts w:hint="default" w:ascii="Times New Roman" w:hAnsi="Times New Roman" w:eastAsia="宋体" w:cs="Times New Roman"/>
          <w:color w:val="000000"/>
          <w:sz w:val="24"/>
          <w:highlight w:val="none"/>
        </w:rPr>
        <w:t xml:space="preserve">投标人名称（加盖公章）</w:t>
      </w:r>
      <w:r>
        <w:rPr>
          <w:rFonts w:hint="default" w:ascii="Times New Roman" w:hAnsi="Times New Roman" w:eastAsia="宋体" w:cs="Times New Roman"/>
          <w:color w:val="000000"/>
          <w:sz w:val="24"/>
          <w:highlight w:val="none"/>
          <w:lang w:val="zh-CN"/>
        </w:rPr>
        <w:t xml:space="preserve">：____________</w:t>
      </w:r>
      <w:r/>
    </w:p>
    <w:p>
      <w:pPr>
        <w:keepLines w:val="0"/>
        <w:keepNext w:val="0"/>
        <w:pageBreakBefore w:val="0"/>
        <w:spacing w:line="400" w:lineRule="exact"/>
        <w:rPr>
          <w:rFonts w:hint="eastAsia" w:ascii="宋体" w:hAnsi="宋体" w:eastAsia="宋体" w:cs="宋体"/>
          <w:sz w:val="24"/>
          <w:szCs w:val="24"/>
          <w:highlight w:val="none"/>
          <w:u w:val="single"/>
        </w:rPr>
      </w:pPr>
      <w:r>
        <w:rPr>
          <w:rFonts w:hint="default" w:ascii="Times New Roman" w:hAnsi="Times New Roman" w:eastAsia="宋体" w:cs="Times New Roman"/>
          <w:color w:val="000000"/>
          <w:sz w:val="24"/>
          <w:szCs w:val="20"/>
          <w:highlight w:val="none"/>
        </w:rPr>
        <w:t xml:space="preserve">日期：_____年______月______日</w:t>
      </w:r>
      <w:r/>
    </w:p>
    <w:p>
      <w:pPr>
        <w:ind w:left="0" w:firstLine="0"/>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t xml:space="preserve">注：</w:t>
      </w:r>
      <w:r/>
    </w:p>
    <w:p>
      <w:pPr>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none"/>
          <w:lang w:val="en-US" w:eastAsia="zh-CN" w:bidi="ar-SA"/>
        </w:rPr>
        <w:outlineLvl w:val="9"/>
      </w:pPr>
      <w:r>
        <w:rPr>
          <w:rFonts w:hint="eastAsia" w:ascii="宋体" w:hAnsi="宋体" w:eastAsia="宋体" w:cs="宋体"/>
          <w:b/>
          <w:bCs/>
          <w:color w:val="ff0000"/>
          <w:sz w:val="24"/>
          <w:szCs w:val="24"/>
          <w:highlight w:val="none"/>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4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2.“实质性条款具体内容”栏目，任何修改将被视为非实质性响应，从而导致该投标（响应）被拒绝，作无效投标文件处理。</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lang w:eastAsia="zh-CN"/>
        </w:rPr>
      </w:pPr>
      <w:r>
        <w:rPr>
          <w:rFonts w:hint="eastAsia" w:ascii="宋体" w:hAnsi="宋体" w:eastAsia="宋体" w:cs="宋体"/>
          <w:b/>
          <w:color w:val="ff0000"/>
          <w:sz w:val="24"/>
          <w:szCs w:val="24"/>
          <w:highlight w:val="none"/>
          <w:lang w:val="en-US" w:eastAsia="zh-CN"/>
        </w:rPr>
        <w:t xml:space="preserve">3.</w:t>
      </w:r>
      <w:r>
        <w:rPr>
          <w:rFonts w:hint="eastAsia" w:ascii="宋体" w:hAnsi="宋体" w:eastAsia="宋体" w:cs="宋体"/>
          <w:b/>
          <w:color w:val="ff0000"/>
          <w:sz w:val="24"/>
          <w:szCs w:val="24"/>
          <w:highlight w:val="none"/>
        </w:rPr>
        <w:t xml:space="preserve">“投标响应</w:t>
      </w:r>
      <w:r>
        <w:rPr>
          <w:rFonts w:hint="eastAsia" w:ascii="宋体" w:hAnsi="宋体" w:eastAsia="宋体" w:cs="宋体"/>
          <w:b/>
          <w:color w:val="ff0000"/>
          <w:sz w:val="24"/>
          <w:szCs w:val="24"/>
          <w:highlight w:val="none"/>
          <w:lang w:val="en-US" w:eastAsia="zh-CN"/>
        </w:rPr>
        <w:t xml:space="preserve">情况</w:t>
      </w:r>
      <w:r>
        <w:rPr>
          <w:rFonts w:hint="eastAsia" w:ascii="宋体" w:hAnsi="宋体" w:eastAsia="宋体" w:cs="宋体"/>
          <w:b/>
          <w:color w:val="ff0000"/>
          <w:sz w:val="24"/>
          <w:szCs w:val="24"/>
          <w:highlight w:val="none"/>
        </w:rPr>
        <w:t xml:space="preserve">”一栏</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应当如实填写“响应”或“不响应”</w:t>
      </w:r>
      <w:r>
        <w:rPr>
          <w:rFonts w:hint="eastAsia" w:ascii="宋体" w:hAnsi="宋体" w:eastAsia="宋体" w:cs="宋体"/>
          <w:b/>
          <w:color w:val="ff0000"/>
          <w:sz w:val="24"/>
          <w:szCs w:val="24"/>
          <w:highlight w:val="none"/>
          <w:lang w:eastAsia="zh-CN"/>
        </w:rPr>
        <w:t xml:space="preserve">。</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lang w:val="en-US" w:eastAsia="zh-CN"/>
        </w:rPr>
        <w:t xml:space="preserve">4</w:t>
      </w:r>
      <w:r>
        <w:rPr>
          <w:rFonts w:hint="eastAsia" w:ascii="宋体" w:hAnsi="宋体" w:eastAsia="宋体" w:cs="宋体"/>
          <w:b/>
          <w:color w:val="ff0000"/>
          <w:sz w:val="24"/>
          <w:szCs w:val="24"/>
          <w:highlight w:val="none"/>
        </w:rPr>
        <w:t xml:space="preserve">.“偏离情况”一栏应填写“正偏离</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负偏离”或“无偏离”，“正偏离”表示“投标响应优于实质性条款具体内容要求”</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lang w:val="en-US" w:eastAsia="zh-CN"/>
        </w:rPr>
        <w:t xml:space="preserve">填写</w:t>
      </w:r>
      <w:r>
        <w:rPr>
          <w:rFonts w:hint="eastAsia" w:ascii="宋体" w:hAnsi="宋体" w:eastAsia="宋体" w:cs="宋体"/>
          <w:b/>
          <w:color w:val="ff0000"/>
          <w:sz w:val="24"/>
          <w:szCs w:val="24"/>
          <w:highlight w:val="none"/>
        </w:rPr>
        <w:t xml:space="preserve">“正偏离”</w:t>
      </w:r>
      <w:r>
        <w:rPr>
          <w:rFonts w:hint="eastAsia" w:ascii="宋体" w:hAnsi="宋体" w:eastAsia="宋体" w:cs="宋体"/>
          <w:b/>
          <w:color w:val="ff0000"/>
          <w:sz w:val="24"/>
          <w:szCs w:val="24"/>
          <w:highlight w:val="none"/>
          <w:lang w:val="en-US" w:eastAsia="zh-CN"/>
        </w:rPr>
        <w:t xml:space="preserve">的</w:t>
      </w: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lang w:val="en-US" w:eastAsia="zh-CN"/>
        </w:rPr>
        <w:t xml:space="preserve">还应当在对应的“说明”一栏填写具体内容，否则视为</w:t>
      </w:r>
      <w:r>
        <w:rPr>
          <w:rFonts w:hint="eastAsia" w:ascii="宋体" w:hAnsi="宋体" w:eastAsia="宋体" w:cs="宋体"/>
          <w:b/>
          <w:color w:val="ff0000"/>
          <w:sz w:val="24"/>
          <w:szCs w:val="24"/>
          <w:highlight w:val="none"/>
        </w:rPr>
        <w:t xml:space="preserve">“无偏离”</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“负偏离”表示“投标响应不满足实质性条款具体内容要求”，“无偏离”表示“投标响应与实质性条款具体内容要求一致”。</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lang w:val="en-US" w:eastAsia="zh-CN"/>
        </w:rPr>
        <w:t xml:space="preserve">5</w:t>
      </w:r>
      <w:r>
        <w:rPr>
          <w:rFonts w:hint="eastAsia" w:ascii="宋体" w:hAnsi="宋体" w:eastAsia="宋体" w:cs="宋体"/>
          <w:b/>
          <w:color w:val="ff0000"/>
          <w:sz w:val="24"/>
          <w:szCs w:val="24"/>
          <w:highlight w:val="none"/>
          <w:lang w:eastAsia="zh-CN"/>
        </w:rPr>
        <w:t xml:space="preserve">评标小组</w:t>
      </w:r>
      <w:r>
        <w:rPr>
          <w:rFonts w:hint="eastAsia" w:ascii="宋体" w:hAnsi="宋体" w:eastAsia="宋体" w:cs="宋体"/>
          <w:b/>
          <w:color w:val="ff0000"/>
          <w:sz w:val="24"/>
          <w:szCs w:val="24"/>
          <w:highlight w:val="none"/>
        </w:rPr>
        <w:t xml:space="preserve">有权对投标响应情况作出判断（作出评审结论）。</w:t>
      </w:r>
      <w:r/>
    </w:p>
    <w:p>
      <w:pPr>
        <w:ind w:firstLine="562"/>
        <w:keepLines w:val="0"/>
        <w:keepNext w:val="0"/>
        <w:pageBreakBefore w:val="0"/>
        <w:spacing w:line="400" w:lineRule="exact"/>
        <w:widowControl w:val="off"/>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lang w:val="en-US" w:eastAsia="zh-CN"/>
        </w:rPr>
        <w:t xml:space="preserve">6</w:t>
      </w:r>
      <w:r>
        <w:rPr>
          <w:rFonts w:hint="eastAsia" w:ascii="宋体" w:hAnsi="宋体" w:eastAsia="宋体" w:cs="宋体"/>
          <w:b/>
          <w:color w:val="ff0000"/>
          <w:sz w:val="24"/>
          <w:szCs w:val="24"/>
          <w:highlight w:val="none"/>
        </w:rPr>
        <w:t xml:space="preserve">.</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实质性条款响应情况</w:t>
      </w:r>
      <w:r>
        <w:rPr>
          <w:rFonts w:hint="eastAsia" w:ascii="宋体" w:hAnsi="宋体" w:eastAsia="宋体" w:cs="宋体"/>
          <w:b/>
          <w:color w:val="ff0000"/>
          <w:sz w:val="24"/>
          <w:szCs w:val="24"/>
          <w:highlight w:val="none"/>
          <w:lang w:val="en-US" w:eastAsia="zh-CN"/>
        </w:rPr>
        <w:t xml:space="preserve">表》内容</w:t>
      </w:r>
      <w:r>
        <w:rPr>
          <w:rFonts w:hint="eastAsia" w:ascii="宋体" w:hAnsi="宋体" w:eastAsia="宋体" w:cs="宋体"/>
          <w:b/>
          <w:color w:val="ff0000"/>
          <w:sz w:val="24"/>
          <w:szCs w:val="24"/>
          <w:highlight w:val="none"/>
        </w:rPr>
        <w:t xml:space="preserve">与</w:t>
      </w:r>
      <w:r>
        <w:rPr>
          <w:rFonts w:hint="eastAsia" w:ascii="宋体" w:hAnsi="宋体" w:eastAsia="宋体" w:cs="宋体"/>
          <w:b/>
          <w:bCs/>
          <w:color w:val="ff0000"/>
          <w:sz w:val="24"/>
          <w:szCs w:val="24"/>
          <w:highlight w:val="none"/>
          <w:lang w:val="en-US" w:eastAsia="zh-CN" w:bidi="ar-SA"/>
        </w:rPr>
        <w:t xml:space="preserve">投标</w:t>
      </w:r>
      <w:r>
        <w:rPr>
          <w:rFonts w:hint="eastAsia" w:ascii="宋体" w:hAnsi="宋体" w:eastAsia="宋体" w:cs="宋体"/>
          <w:b/>
          <w:color w:val="ff0000"/>
          <w:sz w:val="24"/>
          <w:szCs w:val="24"/>
          <w:highlight w:val="none"/>
        </w:rPr>
        <w:t xml:space="preserve">文件</w:t>
      </w:r>
      <w:r>
        <w:rPr>
          <w:rFonts w:hint="eastAsia" w:ascii="宋体" w:hAnsi="宋体" w:eastAsia="宋体" w:cs="宋体"/>
          <w:b/>
          <w:color w:val="ff0000"/>
          <w:sz w:val="24"/>
          <w:szCs w:val="24"/>
          <w:highlight w:val="none"/>
          <w:lang w:eastAsia="zh-CN"/>
        </w:rPr>
        <w:t xml:space="preserve">其他内容</w:t>
      </w:r>
      <w:r>
        <w:rPr>
          <w:rFonts w:hint="eastAsia" w:ascii="宋体" w:hAnsi="宋体" w:eastAsia="宋体" w:cs="宋体"/>
          <w:b/>
          <w:color w:val="ff0000"/>
          <w:sz w:val="24"/>
          <w:szCs w:val="24"/>
          <w:highlight w:val="none"/>
        </w:rPr>
        <w:t xml:space="preserve">冲突的，以</w:t>
      </w:r>
      <w:r>
        <w:rPr>
          <w:rFonts w:hint="eastAsia" w:ascii="宋体" w:hAnsi="宋体" w:eastAsia="宋体" w:cs="宋体"/>
          <w:b/>
          <w:color w:val="ff0000"/>
          <w:sz w:val="24"/>
          <w:szCs w:val="24"/>
          <w:highlight w:val="none"/>
          <w:lang w:eastAsia="zh-CN"/>
        </w:rPr>
        <w:t xml:space="preserve">《</w:t>
      </w:r>
      <w:r>
        <w:rPr>
          <w:rFonts w:hint="eastAsia" w:ascii="宋体" w:hAnsi="宋体" w:eastAsia="宋体" w:cs="宋体"/>
          <w:b/>
          <w:color w:val="ff0000"/>
          <w:sz w:val="24"/>
          <w:szCs w:val="24"/>
          <w:highlight w:val="none"/>
        </w:rPr>
        <w:t xml:space="preserve">实质性条款响应情况</w:t>
      </w:r>
      <w:r>
        <w:rPr>
          <w:rFonts w:hint="eastAsia" w:ascii="宋体" w:hAnsi="宋体" w:eastAsia="宋体" w:cs="宋体"/>
          <w:b/>
          <w:color w:val="ff0000"/>
          <w:sz w:val="24"/>
          <w:szCs w:val="24"/>
          <w:highlight w:val="none"/>
          <w:lang w:val="en-US" w:eastAsia="zh-CN"/>
        </w:rPr>
        <w:t xml:space="preserve">表》</w:t>
      </w:r>
      <w:r>
        <w:rPr>
          <w:rFonts w:hint="eastAsia" w:ascii="宋体" w:hAnsi="宋体" w:eastAsia="宋体" w:cs="宋体"/>
          <w:b/>
          <w:color w:val="ff0000"/>
          <w:sz w:val="24"/>
          <w:szCs w:val="24"/>
          <w:highlight w:val="none"/>
        </w:rPr>
        <w:t xml:space="preserve">为准。</w:t>
      </w:r>
      <w:r/>
    </w:p>
    <w:p>
      <w:pPr>
        <w:ind w:left="0" w:right="0" w:firstLine="482"/>
        <w:jc w:val="both"/>
        <w:keepLines w:val="0"/>
        <w:keepNext w:val="0"/>
        <w:spacing w:before="0" w:beforeAutospacing="0" w:after="0" w:afterAutospacing="0"/>
        <w:widowControl/>
        <w:rPr>
          <w:rFonts w:hint="eastAsia" w:ascii="宋体" w:hAnsi="宋体" w:eastAsia="宋体" w:cs="宋体"/>
          <w:b/>
          <w:bCs/>
          <w:sz w:val="24"/>
          <w:szCs w:val="24"/>
          <w:highlight w:val="none"/>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none"/>
          <w:lang w:val="en-US" w:eastAsia="zh-CN" w:bidi="ar-SA"/>
        </w:rPr>
        <w:t xml:space="preserve">7.</w:t>
      </w:r>
      <w:r>
        <w:rPr>
          <w:rFonts w:hint="eastAsia" w:ascii="宋体" w:hAnsi="宋体" w:eastAsia="宋体" w:cs="宋体"/>
          <w:b/>
          <w:bCs/>
          <w:color w:val="ff0000"/>
          <w:sz w:val="24"/>
          <w:szCs w:val="24"/>
          <w:highlight w:val="none"/>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none"/>
          <w:lang w:val="en-US" w:eastAsia="zh-CN" w:bidi="ar-SA"/>
        </w:rPr>
        <w:t xml:space="preserve">；未要求提供证明材料的，投标人可以不提供。</w:t>
      </w:r>
      <w:r/>
    </w:p>
    <w:p>
      <w:pPr>
        <w:rPr>
          <w:rFonts w:hint="eastAsia"/>
          <w:color w:val="000000"/>
          <w:sz w:val="24"/>
          <w:szCs w:val="20"/>
          <w:highlight w:val="none"/>
        </w:rPr>
      </w:pPr>
      <w:r>
        <w:rPr>
          <w:rFonts w:hint="eastAsia"/>
          <w:color w:val="000000"/>
          <w:sz w:val="24"/>
          <w:szCs w:val="20"/>
          <w:highlight w:val="none"/>
        </w:rPr>
      </w:r>
      <w:r/>
    </w:p>
    <w:p>
      <w:pPr>
        <w:ind w:firstLine="480"/>
        <w:spacing w:line="360" w:lineRule="auto"/>
        <w:rPr>
          <w:color w:val="000000"/>
          <w:sz w:val="24"/>
          <w:szCs w:val="20"/>
          <w:highlight w:val="none"/>
        </w:rPr>
      </w:pPr>
      <w:r>
        <w:rPr>
          <w:rFonts w:hint="eastAsia"/>
          <w:color w:val="000000"/>
          <w:sz w:val="24"/>
          <w:szCs w:val="20"/>
          <w:highlight w:val="none"/>
        </w:rPr>
        <w:t xml:space="preserve">8参加本项目人员一览表</w:t>
      </w:r>
      <w:r/>
    </w:p>
    <w:p>
      <w:pPr>
        <w:jc w:val="center"/>
        <w:rPr>
          <w:rFonts w:hint="eastAsia"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hint="eastAsia" w:ascii="宋体" w:hAnsi="宋体"/>
          <w:sz w:val="22"/>
          <w:highlight w:val="none"/>
        </w:rPr>
      </w:pPr>
      <w:r>
        <w:rPr>
          <w:rFonts w:hint="eastAsia" w:ascii="宋体" w:hAnsi="宋体"/>
          <w:sz w:val="22"/>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043"/>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hint="eastAsia" w:ascii="宋体" w:hAnsi="宋体" w:cs="宋体"/>
          <w:b/>
          <w:sz w:val="24"/>
          <w:highlight w:val="none"/>
          <w:lang w:val="zh-CN"/>
        </w:rPr>
      </w:pPr>
      <w:r>
        <w:rPr>
          <w:rFonts w:hint="eastAsia" w:ascii="宋体" w:hAnsi="宋体" w:cs="宋体"/>
          <w:b/>
          <w:sz w:val="24"/>
          <w:highlight w:val="none"/>
          <w:lang w:val="zh-CN"/>
        </w:rPr>
      </w:r>
      <w:r/>
    </w:p>
    <w:p>
      <w:pPr>
        <w:spacing w:line="360" w:lineRule="auto"/>
        <w:tabs>
          <w:tab w:val="left" w:pos="9765" w:leader="none"/>
        </w:tabs>
        <w:rPr>
          <w:rFonts w:hint="eastAsia"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hint="eastAsia" w:ascii="宋体" w:hAnsi="宋体"/>
          <w:sz w:val="24"/>
          <w:highlight w:val="none"/>
        </w:rPr>
      </w:pPr>
      <w:r>
        <w:rPr>
          <w:rFonts w:hint="eastAsia"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sz w:val="22"/>
          <w:highlight w:val="none"/>
        </w:rPr>
      </w:pPr>
      <w:r>
        <w:rPr>
          <w:sz w:val="22"/>
          <w:highlight w:val="none"/>
        </w:rPr>
        <w:br w:type="page" w:clear="all"/>
      </w:r>
      <w:bookmarkStart w:id="907" w:name="_Toc288738839"/>
      <w:r/>
      <w:bookmarkStart w:id="908" w:name="_Toc288738397"/>
      <w:r/>
      <w:r/>
    </w:p>
    <w:p>
      <w:pPr>
        <w:rPr>
          <w:color w:val="000000"/>
          <w:sz w:val="24"/>
          <w:szCs w:val="20"/>
          <w:highlight w:val="none"/>
        </w:rPr>
      </w:pPr>
      <w:r>
        <w:rPr>
          <w:rFonts w:hint="eastAsia"/>
          <w:color w:val="000000"/>
          <w:sz w:val="24"/>
          <w:szCs w:val="20"/>
          <w:highlight w:val="none"/>
        </w:rPr>
        <w:t xml:space="preserve">9相关业绩案例一览表</w:t>
      </w:r>
      <w:r/>
    </w:p>
    <w:p>
      <w:pPr>
        <w:rPr>
          <w:color w:val="000000"/>
          <w:sz w:val="24"/>
          <w:szCs w:val="20"/>
          <w:highlight w:val="none"/>
        </w:rPr>
      </w:pPr>
      <w:r>
        <w:rPr>
          <w:color w:val="000000"/>
          <w:sz w:val="24"/>
          <w:szCs w:val="20"/>
          <w:highlight w:val="none"/>
        </w:rPr>
      </w:r>
      <w:r/>
    </w:p>
    <w:p>
      <w:pPr>
        <w:jc w:val="center"/>
        <w:rPr>
          <w:rFonts w:hint="eastAsia"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hint="eastAsia" w:ascii="宋体" w:hAnsi="宋体"/>
          <w:b/>
          <w:sz w:val="28"/>
          <w:szCs w:val="30"/>
          <w:highlight w:val="none"/>
        </w:rPr>
      </w:pPr>
      <w:r>
        <w:rPr>
          <w:rFonts w:hint="eastAsia" w:ascii="宋体" w:hAnsi="宋体"/>
          <w:b/>
          <w:sz w:val="28"/>
          <w:szCs w:val="30"/>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1043"/>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highlight w:val="none"/>
              </w:rPr>
            </w:pPr>
            <w:r>
              <w:rPr>
                <w:rFonts w:hint="eastAsia" w:ascii="宋体" w:hAnsi="宋体" w:cs="宋体"/>
                <w:sz w:val="24"/>
                <w:highlight w:val="none"/>
              </w:rPr>
            </w:r>
            <w:r/>
          </w:p>
        </w:tc>
      </w:tr>
    </w:tbl>
    <w:p>
      <w:pPr>
        <w:tabs>
          <w:tab w:val="left" w:pos="9765" w:leader="none"/>
        </w:tabs>
        <w:rPr>
          <w:rFonts w:hint="eastAsia" w:ascii="宋体" w:hAnsi="宋体" w:cs="宋体"/>
          <w:sz w:val="24"/>
          <w:highlight w:val="none"/>
          <w:lang w:val="zh-CN"/>
        </w:rPr>
      </w:pPr>
      <w:r>
        <w:rPr>
          <w:rFonts w:hint="eastAsia" w:ascii="宋体" w:hAnsi="宋体" w:cs="宋体"/>
          <w:sz w:val="24"/>
          <w:highlight w:val="none"/>
          <w:lang w:val="zh-CN"/>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pStyle w:val="1073"/>
        <w:rPr>
          <w:rFonts w:hint="eastAsia"/>
          <w:szCs w:val="20"/>
          <w:highlight w:val="none"/>
        </w:rPr>
      </w:pPr>
      <w:r>
        <w:rPr>
          <w:rFonts w:hint="eastAsia"/>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rPr>
        <w:t xml:space="preserve">10 </w:t>
      </w:r>
      <w:r>
        <w:rPr>
          <w:color w:val="000000"/>
          <w:sz w:val="24"/>
          <w:szCs w:val="20"/>
          <w:highlight w:val="none"/>
        </w:rPr>
        <w:t xml:space="preserve">招标文件要求提供</w:t>
      </w:r>
      <w:r>
        <w:rPr>
          <w:rFonts w:hint="eastAsia"/>
          <w:color w:val="000000"/>
          <w:sz w:val="24"/>
          <w:szCs w:val="20"/>
          <w:highlight w:val="none"/>
        </w:rPr>
        <w:t xml:space="preserve">、评分标准要求以及</w:t>
      </w:r>
      <w:r>
        <w:rPr>
          <w:color w:val="000000"/>
          <w:sz w:val="24"/>
          <w:szCs w:val="20"/>
          <w:highlight w:val="none"/>
        </w:rPr>
        <w:t xml:space="preserve">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Wingdings 2">
    <w:panose1 w:val="05020102010507070707"/>
  </w:font>
  <w:font w:name="Segoe UI Symbol">
    <w:panose1 w:val="020B0502040204020203"/>
  </w:font>
  <w:font w:name="SimSun">
    <w:panose1 w:val="02010600030101010101"/>
  </w:font>
  <w:font w:name="CESI黑体-GB2312">
    <w:panose1 w:val="020B0503020202020204"/>
  </w:font>
  <w:font w:name="方正小标宋简体">
    <w:panose1 w:val="020B0503020202020204"/>
  </w:font>
  <w:font w:name="Songti SC Regular">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26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framePr w:wrap="around" w:vAnchor="text" w:hAnchor="margin" w:xAlign="right" w:y="1"/>
    </w:pPr>
    <w:r>
      <w:rPr>
        <w:rStyle w:val="1294"/>
      </w:rPr>
      <w:fldChar w:fldCharType="begin"/>
    </w:r>
    <w:r>
      <w:rPr>
        <w:rStyle w:val="1294"/>
      </w:rPr>
      <w:instrText xml:space="preserve">PAGE  </w:instrText>
    </w:r>
    <w:r>
      <w:rPr>
        <w:rStyle w:val="1294"/>
      </w:rPr>
      <w:fldChar w:fldCharType="end"/>
    </w:r>
    <w:r/>
  </w:p>
  <w:p>
    <w:pPr>
      <w:pStyle w:val="126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framePr w:wrap="around" w:vAnchor="text" w:hAnchor="margin" w:xAlign="right" w:y="1"/>
    </w:pPr>
    <w:r>
      <w:rPr>
        <w:rStyle w:val="1294"/>
      </w:rPr>
      <w:fldChar w:fldCharType="begin"/>
    </w:r>
    <w:r>
      <w:rPr>
        <w:rStyle w:val="1294"/>
      </w:rPr>
      <w:instrText xml:space="preserve">PAGE  </w:instrText>
    </w:r>
    <w:r>
      <w:rPr>
        <w:rStyle w:val="1294"/>
      </w:rPr>
      <w:fldChar w:fldCharType="end"/>
    </w:r>
    <w:r/>
  </w:p>
  <w:p>
    <w:pPr>
      <w:pStyle w:val="1269"/>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rPr>
        <w:rStyle w:val="1294"/>
      </w:rPr>
      <w:framePr w:wrap="around" w:vAnchor="text" w:hAnchor="margin" w:xAlign="right" w:y="1"/>
    </w:pPr>
    <w:r>
      <w:fldChar w:fldCharType="begin"/>
    </w:r>
    <w:r>
      <w:rPr>
        <w:rStyle w:val="1294"/>
      </w:rPr>
      <w:instrText xml:space="preserve">PAGE  </w:instrText>
    </w:r>
    <w:r>
      <w:fldChar w:fldCharType="end"/>
    </w:r>
    <w:r/>
  </w:p>
  <w:p>
    <w:pPr>
      <w:pStyle w:val="1269"/>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jc w:val="right"/>
    </w:pPr>
    <w:r>
      <w:rPr>
        <w:rFonts w:hint="eastAsia"/>
      </w:rPr>
      <w:t xml:space="preserve">常州市政府</w:t>
    </w:r>
    <w:r>
      <w:t xml:space="preserve">采购</w:t>
    </w:r>
    <w:r>
      <w:rPr>
        <w:rFonts w:hint="eastAsia"/>
      </w:rPr>
      <w:t xml:space="preserve">项目公开招标文件示范文本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Bdr>
        <w:bottom w:val="single" w:color="auto" w:sz="4" w:space="1"/>
      </w:pBdr>
    </w:pPr>
    <w:r>
      <w:rPr>
        <w:rFonts w:hint="eastAsia"/>
      </w:rPr>
      <w:t xml:space="preserve">                                                                     常州市政府</w:t>
    </w:r>
    <w:r>
      <w:t xml:space="preserve">采购</w:t>
    </w:r>
    <w:r>
      <w:rPr>
        <w:rFonts w:hint="eastAsia"/>
      </w:rPr>
      <w:t xml:space="preserve">项目公开招标文件示范文本</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p>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7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6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3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2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2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6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6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71"/>
      <w:isLgl w:val="false"/>
      <w:suff w:val="nothing"/>
      <w:lvlText w:val="%1.%2.%3.%4.%5.%6　"/>
      <w:lvlJc w:val="left"/>
      <w:pPr>
        <w:ind w:left="-25" w:firstLine="0"/>
      </w:pPr>
      <w:rPr>
        <w:rFonts w:ascii="Times New Roman" w:hAnsi="Times New Roman" w:eastAsia="宋体"/>
        <w:b/>
        <w:i w:val="0"/>
        <w:sz w:val="28"/>
      </w:rPr>
    </w:lvl>
    <w:lvl w:ilvl="6">
      <w:start w:val="1"/>
      <w:numFmt w:val="lowerLetter"/>
      <w:pStyle w:val="138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4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2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4">
    <w:multiLevelType w:val="hybridMultilevel"/>
    <w:lvl w:ilvl="0">
      <w:start w:val="1"/>
      <w:numFmt w:val="lowerLetter"/>
      <w:pStyle w:val="140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432"/>
      <w:isLgl w:val="false"/>
      <w:suff w:val="tab"/>
      <w:lvlText w:val="%1"/>
      <w:lvlJc w:val="left"/>
      <w:pPr>
        <w:ind w:left="680" w:hanging="680"/>
      </w:pPr>
      <w:rPr>
        <w:rFonts w:hint="eastAsia" w:ascii="宋体" w:hAnsi="宋体" w:eastAsia="宋体"/>
      </w:rPr>
    </w:lvl>
    <w:lvl w:ilvl="1">
      <w:start w:val="1"/>
      <w:numFmt w:val="decimal"/>
      <w:pStyle w:val="1433"/>
      <w:isLgl w:val="false"/>
      <w:suff w:val="tab"/>
      <w:lvlText w:val="%1.%2"/>
      <w:lvlJc w:val="left"/>
      <w:pPr>
        <w:ind w:left="851" w:hanging="851"/>
      </w:pPr>
      <w:rPr>
        <w:rFonts w:hint="eastAsia" w:ascii="宋体" w:hAnsi="宋体" w:eastAsia="宋体"/>
        <w:color w:val="000000"/>
      </w:rPr>
    </w:lvl>
    <w:lvl w:ilvl="2">
      <w:start w:val="1"/>
      <w:numFmt w:val="decimal"/>
      <w:pStyle w:val="143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33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2"/>
  </w:num>
  <w:num w:numId="2">
    <w:abstractNumId w:val="12"/>
  </w:num>
  <w:num w:numId="3">
    <w:abstractNumId w:val="31"/>
  </w:num>
  <w:num w:numId="4">
    <w:abstractNumId w:val="8"/>
  </w:num>
  <w:num w:numId="5">
    <w:abstractNumId w:val="6"/>
  </w:num>
  <w:num w:numId="6">
    <w:abstractNumId w:val="24"/>
  </w:num>
  <w:num w:numId="7">
    <w:abstractNumId w:val="27"/>
  </w:num>
  <w:num w:numId="8">
    <w:abstractNumId w:val="36"/>
  </w:num>
  <w:num w:numId="9">
    <w:abstractNumId w:val="23"/>
  </w:num>
  <w:num w:numId="10">
    <w:abstractNumId w:val="0"/>
  </w:num>
  <w:num w:numId="11">
    <w:abstractNumId w:val="28"/>
  </w:num>
  <w:num w:numId="12">
    <w:abstractNumId w:val="32"/>
  </w:num>
  <w:num w:numId="13">
    <w:abstractNumId w:val="26"/>
  </w:num>
  <w:num w:numId="14">
    <w:abstractNumId w:val="1"/>
  </w:num>
  <w:num w:numId="15">
    <w:abstractNumId w:val="2"/>
  </w:num>
  <w:num w:numId="16">
    <w:abstractNumId w:val="21"/>
  </w:num>
  <w:num w:numId="17">
    <w:abstractNumId w:val="33"/>
  </w:num>
  <w:num w:numId="18">
    <w:abstractNumId w:val="11"/>
  </w:num>
  <w:num w:numId="19">
    <w:abstractNumId w:val="13"/>
  </w:num>
  <w:num w:numId="20">
    <w:abstractNumId w:val="10"/>
  </w:num>
  <w:num w:numId="21">
    <w:abstractNumId w:val="35"/>
  </w:num>
  <w:num w:numId="22">
    <w:abstractNumId w:val="34"/>
  </w:num>
  <w:num w:numId="23">
    <w:abstractNumId w:val="3"/>
  </w:num>
  <w:num w:numId="24">
    <w:abstractNumId w:val="9"/>
  </w:num>
  <w:num w:numId="25">
    <w:abstractNumId w:val="16"/>
  </w:num>
  <w:num w:numId="26">
    <w:abstractNumId w:val="29"/>
  </w:num>
  <w:num w:numId="27">
    <w:abstractNumId w:val="20"/>
  </w:num>
  <w:num w:numId="28">
    <w:abstractNumId w:val="19"/>
  </w:num>
  <w:num w:numId="29">
    <w:abstractNumId w:val="18"/>
  </w:num>
  <w:num w:numId="30">
    <w:abstractNumId w:val="14"/>
  </w:num>
  <w:num w:numId="31">
    <w:abstractNumId w:val="17"/>
  </w:num>
  <w:num w:numId="32">
    <w:abstractNumId w:val="15"/>
  </w:num>
  <w:num w:numId="33">
    <w:abstractNumId w:val="5"/>
  </w:num>
  <w:num w:numId="34">
    <w:abstractNumId w:val="30"/>
  </w:num>
  <w:num w:numId="35">
    <w:abstractNumId w:val="7"/>
  </w:num>
  <w:num w:numId="36">
    <w:abstractNumId w:val="4"/>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6">
    <w:name w:val="Heading 1 Char"/>
    <w:basedOn w:val="1042"/>
    <w:link w:val="1033"/>
    <w:uiPriority w:val="9"/>
    <w:rPr>
      <w:rFonts w:ascii="Arial" w:hAnsi="Arial" w:eastAsia="Arial" w:cs="Arial"/>
      <w:sz w:val="40"/>
      <w:szCs w:val="40"/>
    </w:rPr>
  </w:style>
  <w:style w:type="character" w:styleId="997">
    <w:name w:val="Heading 2 Char"/>
    <w:basedOn w:val="1042"/>
    <w:link w:val="1034"/>
    <w:uiPriority w:val="9"/>
    <w:rPr>
      <w:rFonts w:ascii="Arial" w:hAnsi="Arial" w:eastAsia="Arial" w:cs="Arial"/>
      <w:sz w:val="34"/>
    </w:rPr>
  </w:style>
  <w:style w:type="character" w:styleId="998">
    <w:name w:val="Heading 4 Char"/>
    <w:basedOn w:val="1042"/>
    <w:link w:val="1036"/>
    <w:uiPriority w:val="9"/>
    <w:rPr>
      <w:rFonts w:ascii="Arial" w:hAnsi="Arial" w:eastAsia="Arial" w:cs="Arial"/>
      <w:b/>
      <w:bCs/>
      <w:sz w:val="26"/>
      <w:szCs w:val="26"/>
    </w:rPr>
  </w:style>
  <w:style w:type="character" w:styleId="999">
    <w:name w:val="Heading 5 Char"/>
    <w:basedOn w:val="1042"/>
    <w:link w:val="1037"/>
    <w:uiPriority w:val="9"/>
    <w:rPr>
      <w:rFonts w:ascii="Arial" w:hAnsi="Arial" w:eastAsia="Arial" w:cs="Arial"/>
      <w:b/>
      <w:bCs/>
      <w:sz w:val="24"/>
      <w:szCs w:val="24"/>
    </w:rPr>
  </w:style>
  <w:style w:type="character" w:styleId="1000">
    <w:name w:val="Heading 6 Char"/>
    <w:basedOn w:val="1042"/>
    <w:link w:val="1038"/>
    <w:uiPriority w:val="9"/>
    <w:rPr>
      <w:rFonts w:ascii="Arial" w:hAnsi="Arial" w:eastAsia="Arial" w:cs="Arial"/>
      <w:b/>
      <w:bCs/>
      <w:sz w:val="22"/>
      <w:szCs w:val="22"/>
    </w:rPr>
  </w:style>
  <w:style w:type="character" w:styleId="1001">
    <w:name w:val="Heading 7 Char"/>
    <w:basedOn w:val="1042"/>
    <w:link w:val="1039"/>
    <w:uiPriority w:val="9"/>
    <w:rPr>
      <w:rFonts w:ascii="Arial" w:hAnsi="Arial" w:eastAsia="Arial" w:cs="Arial"/>
      <w:b/>
      <w:bCs/>
      <w:i/>
      <w:iCs/>
      <w:sz w:val="22"/>
      <w:szCs w:val="22"/>
    </w:rPr>
  </w:style>
  <w:style w:type="character" w:styleId="1002">
    <w:name w:val="Heading 8 Char"/>
    <w:basedOn w:val="1042"/>
    <w:link w:val="1040"/>
    <w:uiPriority w:val="9"/>
    <w:rPr>
      <w:rFonts w:ascii="Arial" w:hAnsi="Arial" w:eastAsia="Arial" w:cs="Arial"/>
      <w:i/>
      <w:iCs/>
      <w:sz w:val="22"/>
      <w:szCs w:val="22"/>
    </w:rPr>
  </w:style>
  <w:style w:type="character" w:styleId="1003">
    <w:name w:val="Heading 9 Char"/>
    <w:basedOn w:val="1042"/>
    <w:link w:val="1041"/>
    <w:uiPriority w:val="9"/>
    <w:rPr>
      <w:rFonts w:ascii="Arial" w:hAnsi="Arial" w:eastAsia="Arial" w:cs="Arial"/>
      <w:i/>
      <w:iCs/>
      <w:sz w:val="21"/>
      <w:szCs w:val="21"/>
    </w:rPr>
  </w:style>
  <w:style w:type="character" w:styleId="1004">
    <w:name w:val="Title Char"/>
    <w:basedOn w:val="1042"/>
    <w:link w:val="1065"/>
    <w:uiPriority w:val="10"/>
    <w:rPr>
      <w:sz w:val="48"/>
      <w:szCs w:val="48"/>
    </w:rPr>
  </w:style>
  <w:style w:type="character" w:styleId="1005">
    <w:name w:val="Subtitle Char"/>
    <w:basedOn w:val="1042"/>
    <w:link w:val="1058"/>
    <w:uiPriority w:val="11"/>
    <w:rPr>
      <w:sz w:val="24"/>
      <w:szCs w:val="24"/>
    </w:rPr>
  </w:style>
  <w:style w:type="character" w:styleId="1006">
    <w:name w:val="Quote Char"/>
    <w:link w:val="1087"/>
    <w:uiPriority w:val="29"/>
    <w:rPr>
      <w:i/>
    </w:rPr>
  </w:style>
  <w:style w:type="character" w:styleId="1007">
    <w:name w:val="Intense Quote Char"/>
    <w:link w:val="1089"/>
    <w:uiPriority w:val="30"/>
    <w:rPr>
      <w:i/>
    </w:rPr>
  </w:style>
  <w:style w:type="character" w:styleId="1008">
    <w:name w:val="Header Char"/>
    <w:basedOn w:val="1042"/>
    <w:link w:val="1055"/>
    <w:uiPriority w:val="99"/>
  </w:style>
  <w:style w:type="character" w:styleId="1009">
    <w:name w:val="Caption Char"/>
    <w:basedOn w:val="1045"/>
    <w:link w:val="1054"/>
    <w:uiPriority w:val="99"/>
  </w:style>
  <w:style w:type="table" w:styleId="1010">
    <w:name w:val="Plain Table 1"/>
    <w:basedOn w:val="10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2"/>
    <w:basedOn w:val="10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name w:val="Plain Table 3"/>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name w:val="Plain Table 4"/>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name w:val="Plain Table 5"/>
    <w:basedOn w:val="10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5">
    <w:name w:val="Grid Table 1 Light"/>
    <w:basedOn w:val="10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6">
    <w:name w:val="Grid Table 2"/>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7">
    <w:name w:val="Grid Table 3"/>
    <w:basedOn w:val="10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4"/>
    <w:basedOn w:val="10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name w:val="Grid Table 5 Dark"/>
    <w:basedOn w:val="10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0">
    <w:name w:val="Grid Table 6 Colorful"/>
    <w:basedOn w:val="10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1">
    <w:name w:val="Grid Table 7 Colorful"/>
    <w:basedOn w:val="10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2">
    <w:name w:val="List Table 1 Light"/>
    <w:basedOn w:val="10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name w:val="List Table 2"/>
    <w:basedOn w:val="10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4">
    <w:name w:val="List Table 3"/>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5">
    <w:name w:val="List Table 4"/>
    <w:basedOn w:val="10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6">
    <w:name w:val="List Table 5 Dark"/>
    <w:basedOn w:val="10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basedOn w:val="10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7 Colorful"/>
    <w:basedOn w:val="10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29">
    <w:name w:val="Footnote Text Char"/>
    <w:link w:val="1059"/>
    <w:uiPriority w:val="99"/>
    <w:rPr>
      <w:sz w:val="18"/>
    </w:rPr>
  </w:style>
  <w:style w:type="character" w:styleId="1030">
    <w:name w:val="Endnote Text Char"/>
    <w:link w:val="1053"/>
    <w:uiPriority w:val="99"/>
    <w:rPr>
      <w:sz w:val="20"/>
    </w:rPr>
  </w:style>
  <w:style w:type="paragraph" w:styleId="1031">
    <w:name w:val="TOC Heading"/>
    <w:uiPriority w:val="39"/>
    <w:unhideWhenUsed/>
  </w:style>
  <w:style w:type="paragraph" w:styleId="103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3">
    <w:name w:val="Heading 1"/>
    <w:basedOn w:val="1032"/>
    <w:next w:val="1032"/>
    <w:link w:val="1075"/>
    <w:uiPriority w:val="9"/>
    <w:qFormat/>
    <w:pPr>
      <w:keepLines/>
      <w:keepNext/>
      <w:spacing w:before="480" w:after="200"/>
      <w:outlineLvl w:val="0"/>
    </w:pPr>
    <w:rPr>
      <w:rFonts w:ascii="Arial" w:hAnsi="Arial" w:eastAsia="Arial" w:cs="Arial"/>
      <w:sz w:val="40"/>
      <w:szCs w:val="40"/>
    </w:rPr>
  </w:style>
  <w:style w:type="paragraph" w:styleId="1034">
    <w:name w:val="Heading 2"/>
    <w:basedOn w:val="1032"/>
    <w:next w:val="1032"/>
    <w:link w:val="1076"/>
    <w:uiPriority w:val="9"/>
    <w:unhideWhenUsed/>
    <w:qFormat/>
    <w:pPr>
      <w:keepLines/>
      <w:keepNext/>
      <w:spacing w:before="360" w:after="200"/>
      <w:outlineLvl w:val="1"/>
    </w:pPr>
    <w:rPr>
      <w:rFonts w:ascii="Arial" w:hAnsi="Arial" w:eastAsia="Arial" w:cs="Arial"/>
      <w:sz w:val="34"/>
    </w:rPr>
  </w:style>
  <w:style w:type="paragraph" w:styleId="1035">
    <w:name w:val="Heading 3"/>
    <w:basedOn w:val="1032"/>
    <w:next w:val="1032"/>
    <w:link w:val="1442"/>
    <w:uiPriority w:val="9"/>
    <w:unhideWhenUsed/>
    <w:qFormat/>
    <w:pPr>
      <w:keepLines/>
      <w:keepNext/>
      <w:spacing w:before="320" w:after="200"/>
      <w:outlineLvl w:val="2"/>
    </w:pPr>
    <w:rPr>
      <w:rFonts w:ascii="Arial" w:hAnsi="Arial" w:eastAsia="Arial" w:cs="Arial"/>
      <w:sz w:val="30"/>
      <w:szCs w:val="30"/>
    </w:rPr>
  </w:style>
  <w:style w:type="paragraph" w:styleId="1036">
    <w:name w:val="Heading 4"/>
    <w:basedOn w:val="1032"/>
    <w:next w:val="1032"/>
    <w:link w:val="1078"/>
    <w:uiPriority w:val="9"/>
    <w:unhideWhenUsed/>
    <w:qFormat/>
    <w:pPr>
      <w:keepLines/>
      <w:keepNext/>
      <w:spacing w:before="320" w:after="200"/>
      <w:outlineLvl w:val="3"/>
    </w:pPr>
    <w:rPr>
      <w:rFonts w:ascii="Arial" w:hAnsi="Arial" w:eastAsia="Arial" w:cs="Arial"/>
      <w:b/>
      <w:bCs/>
      <w:sz w:val="26"/>
      <w:szCs w:val="26"/>
    </w:rPr>
  </w:style>
  <w:style w:type="paragraph" w:styleId="1037">
    <w:name w:val="Heading 5"/>
    <w:basedOn w:val="1032"/>
    <w:next w:val="1032"/>
    <w:link w:val="1079"/>
    <w:uiPriority w:val="9"/>
    <w:unhideWhenUsed/>
    <w:qFormat/>
    <w:pPr>
      <w:keepLines/>
      <w:keepNext/>
      <w:spacing w:before="320" w:after="200"/>
      <w:outlineLvl w:val="4"/>
    </w:pPr>
    <w:rPr>
      <w:rFonts w:ascii="Arial" w:hAnsi="Arial" w:eastAsia="Arial" w:cs="Arial"/>
      <w:b/>
      <w:bCs/>
      <w:sz w:val="24"/>
    </w:rPr>
  </w:style>
  <w:style w:type="paragraph" w:styleId="1038">
    <w:name w:val="Heading 6"/>
    <w:basedOn w:val="1032"/>
    <w:next w:val="1032"/>
    <w:link w:val="1080"/>
    <w:uiPriority w:val="9"/>
    <w:unhideWhenUsed/>
    <w:qFormat/>
    <w:pPr>
      <w:keepLines/>
      <w:keepNext/>
      <w:spacing w:before="320" w:after="200"/>
      <w:outlineLvl w:val="5"/>
    </w:pPr>
    <w:rPr>
      <w:rFonts w:ascii="Arial" w:hAnsi="Arial" w:eastAsia="Arial" w:cs="Arial"/>
      <w:b/>
      <w:bCs/>
      <w:sz w:val="22"/>
      <w:szCs w:val="22"/>
    </w:rPr>
  </w:style>
  <w:style w:type="paragraph" w:styleId="1039">
    <w:name w:val="Heading 7"/>
    <w:basedOn w:val="1032"/>
    <w:next w:val="1032"/>
    <w:link w:val="1081"/>
    <w:uiPriority w:val="9"/>
    <w:unhideWhenUsed/>
    <w:qFormat/>
    <w:pPr>
      <w:keepLines/>
      <w:keepNext/>
      <w:spacing w:before="320" w:after="200"/>
      <w:outlineLvl w:val="6"/>
    </w:pPr>
    <w:rPr>
      <w:rFonts w:ascii="Arial" w:hAnsi="Arial" w:eastAsia="Arial" w:cs="Arial"/>
      <w:b/>
      <w:bCs/>
      <w:i/>
      <w:iCs/>
      <w:sz w:val="22"/>
      <w:szCs w:val="22"/>
    </w:rPr>
  </w:style>
  <w:style w:type="paragraph" w:styleId="1040">
    <w:name w:val="Heading 8"/>
    <w:basedOn w:val="1032"/>
    <w:next w:val="1032"/>
    <w:link w:val="1082"/>
    <w:uiPriority w:val="9"/>
    <w:unhideWhenUsed/>
    <w:qFormat/>
    <w:pPr>
      <w:keepLines/>
      <w:keepNext/>
      <w:spacing w:before="320" w:after="200"/>
      <w:outlineLvl w:val="7"/>
    </w:pPr>
    <w:rPr>
      <w:rFonts w:ascii="Arial" w:hAnsi="Arial" w:eastAsia="Arial" w:cs="Arial"/>
      <w:i/>
      <w:iCs/>
      <w:sz w:val="22"/>
      <w:szCs w:val="22"/>
    </w:rPr>
  </w:style>
  <w:style w:type="paragraph" w:styleId="1041">
    <w:name w:val="Heading 9"/>
    <w:basedOn w:val="1032"/>
    <w:next w:val="1032"/>
    <w:link w:val="1083"/>
    <w:uiPriority w:val="9"/>
    <w:unhideWhenUsed/>
    <w:qFormat/>
    <w:pPr>
      <w:keepLines/>
      <w:keepNext/>
      <w:spacing w:before="320" w:after="200"/>
      <w:outlineLvl w:val="8"/>
    </w:pPr>
    <w:rPr>
      <w:rFonts w:ascii="Arial" w:hAnsi="Arial" w:eastAsia="Arial" w:cs="Arial"/>
      <w:i/>
      <w:iCs/>
      <w:szCs w:val="21"/>
    </w:rPr>
  </w:style>
  <w:style w:type="character" w:styleId="1042" w:default="1">
    <w:name w:val="Default Paragraph Font"/>
    <w:uiPriority w:val="1"/>
    <w:semiHidden/>
    <w:unhideWhenUsed/>
    <w:qFormat/>
  </w:style>
  <w:style w:type="table" w:styleId="1043" w:default="1">
    <w:name w:val="Normal Table"/>
    <w:uiPriority w:val="99"/>
    <w:semiHidden/>
    <w:unhideWhenUsed/>
    <w:qFormat/>
    <w:tblPr>
      <w:tblCellMar>
        <w:left w:w="108" w:type="dxa"/>
        <w:top w:w="0" w:type="dxa"/>
        <w:right w:w="108" w:type="dxa"/>
        <w:bottom w:w="0" w:type="dxa"/>
      </w:tblCellMar>
    </w:tblPr>
  </w:style>
  <w:style w:type="paragraph" w:styleId="1044">
    <w:name w:val="toc 7"/>
    <w:basedOn w:val="1032"/>
    <w:next w:val="1032"/>
    <w:uiPriority w:val="39"/>
    <w:unhideWhenUsed/>
    <w:qFormat/>
    <w:pPr>
      <w:ind w:left="1701"/>
      <w:spacing w:after="57"/>
    </w:pPr>
  </w:style>
  <w:style w:type="paragraph" w:styleId="1045">
    <w:name w:val="Caption"/>
    <w:basedOn w:val="1032"/>
    <w:next w:val="10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6">
    <w:name w:val="annotation text"/>
    <w:basedOn w:val="1032"/>
    <w:link w:val="1502"/>
    <w:uiPriority w:val="99"/>
    <w:semiHidden/>
    <w:unhideWhenUsed/>
    <w:qFormat/>
    <w:pPr>
      <w:jc w:val="left"/>
    </w:pPr>
  </w:style>
  <w:style w:type="paragraph" w:styleId="1047">
    <w:name w:val="Body Text"/>
    <w:basedOn w:val="1032"/>
    <w:uiPriority w:val="0"/>
    <w:qFormat/>
    <w:rPr>
      <w:rFonts w:ascii="楷体_GB2312" w:hAnsi="Arial" w:eastAsia="楷体_GB2312"/>
      <w:sz w:val="28"/>
      <w:szCs w:val="20"/>
    </w:rPr>
  </w:style>
  <w:style w:type="paragraph" w:styleId="1048">
    <w:name w:val="Body Text Indent"/>
    <w:basedOn w:val="1032"/>
    <w:uiPriority w:val="99"/>
    <w:qFormat/>
    <w:pPr>
      <w:ind w:left="960"/>
      <w:spacing w:line="700" w:lineRule="exact"/>
    </w:pPr>
    <w:rPr>
      <w:sz w:val="44"/>
    </w:rPr>
  </w:style>
  <w:style w:type="paragraph" w:styleId="1049">
    <w:name w:val="toc 5"/>
    <w:basedOn w:val="1032"/>
    <w:next w:val="1032"/>
    <w:uiPriority w:val="39"/>
    <w:unhideWhenUsed/>
    <w:qFormat/>
    <w:pPr>
      <w:ind w:left="1134"/>
      <w:spacing w:after="57"/>
    </w:pPr>
  </w:style>
  <w:style w:type="paragraph" w:styleId="1050">
    <w:name w:val="toc 3"/>
    <w:basedOn w:val="1032"/>
    <w:next w:val="1032"/>
    <w:uiPriority w:val="39"/>
    <w:unhideWhenUsed/>
    <w:qFormat/>
    <w:pPr>
      <w:ind w:left="567"/>
      <w:spacing w:after="57"/>
    </w:pPr>
  </w:style>
  <w:style w:type="paragraph" w:styleId="1051">
    <w:name w:val="Plain Text"/>
    <w:basedOn w:val="1032"/>
    <w:uiPriority w:val="0"/>
    <w:qFormat/>
    <w:rPr>
      <w:rFonts w:ascii="宋体" w:hAnsi="Courier New"/>
      <w:sz w:val="20"/>
      <w:szCs w:val="20"/>
    </w:rPr>
  </w:style>
  <w:style w:type="paragraph" w:styleId="1052">
    <w:name w:val="toc 8"/>
    <w:basedOn w:val="1032"/>
    <w:next w:val="1032"/>
    <w:uiPriority w:val="39"/>
    <w:unhideWhenUsed/>
    <w:qFormat/>
    <w:pPr>
      <w:ind w:left="1984"/>
      <w:spacing w:after="57"/>
    </w:pPr>
  </w:style>
  <w:style w:type="paragraph" w:styleId="1053">
    <w:name w:val="endnote text"/>
    <w:basedOn w:val="1032"/>
    <w:link w:val="1220"/>
    <w:uiPriority w:val="99"/>
    <w:semiHidden/>
    <w:unhideWhenUsed/>
    <w:qFormat/>
    <w:rPr>
      <w:sz w:val="20"/>
    </w:rPr>
  </w:style>
  <w:style w:type="paragraph" w:styleId="1054">
    <w:name w:val="Footer"/>
    <w:basedOn w:val="1032"/>
    <w:link w:val="1093"/>
    <w:uiPriority w:val="99"/>
    <w:unhideWhenUsed/>
    <w:qFormat/>
    <w:pPr>
      <w:tabs>
        <w:tab w:val="center" w:pos="7143" w:leader="none"/>
        <w:tab w:val="right" w:pos="14287" w:leader="none"/>
      </w:tabs>
    </w:pPr>
  </w:style>
  <w:style w:type="paragraph" w:styleId="1055">
    <w:name w:val="Header"/>
    <w:basedOn w:val="1032"/>
    <w:link w:val="1091"/>
    <w:uiPriority w:val="99"/>
    <w:unhideWhenUsed/>
    <w:qFormat/>
    <w:pPr>
      <w:tabs>
        <w:tab w:val="center" w:pos="7143" w:leader="none"/>
        <w:tab w:val="right" w:pos="14287" w:leader="none"/>
      </w:tabs>
    </w:pPr>
  </w:style>
  <w:style w:type="paragraph" w:styleId="1056">
    <w:name w:val="toc 1"/>
    <w:basedOn w:val="1032"/>
    <w:next w:val="1032"/>
    <w:uiPriority w:val="39"/>
    <w:unhideWhenUsed/>
    <w:qFormat/>
    <w:pPr>
      <w:spacing w:after="57"/>
    </w:pPr>
  </w:style>
  <w:style w:type="paragraph" w:styleId="1057">
    <w:name w:val="toc 4"/>
    <w:basedOn w:val="1032"/>
    <w:next w:val="1032"/>
    <w:uiPriority w:val="39"/>
    <w:unhideWhenUsed/>
    <w:qFormat/>
    <w:pPr>
      <w:ind w:left="850"/>
      <w:spacing w:after="57"/>
    </w:pPr>
  </w:style>
  <w:style w:type="paragraph" w:styleId="1058">
    <w:name w:val="Subtitle"/>
    <w:basedOn w:val="1032"/>
    <w:next w:val="1032"/>
    <w:link w:val="1086"/>
    <w:uiPriority w:val="11"/>
    <w:qFormat/>
    <w:pPr>
      <w:spacing w:before="200" w:after="200"/>
    </w:pPr>
    <w:rPr>
      <w:sz w:val="24"/>
    </w:rPr>
  </w:style>
  <w:style w:type="paragraph" w:styleId="1059">
    <w:name w:val="footnote text"/>
    <w:basedOn w:val="1032"/>
    <w:link w:val="1219"/>
    <w:uiPriority w:val="99"/>
    <w:semiHidden/>
    <w:unhideWhenUsed/>
    <w:qFormat/>
    <w:pPr>
      <w:spacing w:after="40"/>
    </w:pPr>
    <w:rPr>
      <w:sz w:val="18"/>
    </w:rPr>
  </w:style>
  <w:style w:type="paragraph" w:styleId="1060">
    <w:name w:val="toc 6"/>
    <w:basedOn w:val="1032"/>
    <w:next w:val="1032"/>
    <w:uiPriority w:val="39"/>
    <w:unhideWhenUsed/>
    <w:qFormat/>
    <w:pPr>
      <w:ind w:left="1417"/>
      <w:spacing w:after="57"/>
    </w:pPr>
  </w:style>
  <w:style w:type="paragraph" w:styleId="1061">
    <w:name w:val="table of figures"/>
    <w:basedOn w:val="1032"/>
    <w:next w:val="1032"/>
    <w:uiPriority w:val="99"/>
    <w:unhideWhenUsed/>
    <w:qFormat/>
  </w:style>
  <w:style w:type="paragraph" w:styleId="1062">
    <w:name w:val="toc 2"/>
    <w:basedOn w:val="1032"/>
    <w:next w:val="1032"/>
    <w:uiPriority w:val="39"/>
    <w:unhideWhenUsed/>
    <w:qFormat/>
    <w:pPr>
      <w:ind w:left="283"/>
      <w:spacing w:after="57"/>
    </w:pPr>
  </w:style>
  <w:style w:type="paragraph" w:styleId="1063">
    <w:name w:val="toc 9"/>
    <w:basedOn w:val="1032"/>
    <w:next w:val="1032"/>
    <w:uiPriority w:val="39"/>
    <w:unhideWhenUsed/>
    <w:qFormat/>
    <w:pPr>
      <w:ind w:left="2268"/>
      <w:spacing w:after="57"/>
    </w:pPr>
  </w:style>
  <w:style w:type="paragraph" w:styleId="1064">
    <w:name w:val="Normal (Web)"/>
    <w:basedOn w:val="1032"/>
    <w:uiPriority w:val="99"/>
    <w:unhideWhenUsed/>
    <w:qFormat/>
    <w:pPr>
      <w:jc w:val="left"/>
      <w:spacing w:before="100" w:beforeAutospacing="1" w:after="100" w:afterAutospacing="1"/>
      <w:widowControl/>
    </w:pPr>
    <w:rPr>
      <w:rFonts w:ascii="宋体" w:hAnsi="宋体"/>
      <w:sz w:val="24"/>
    </w:rPr>
  </w:style>
  <w:style w:type="paragraph" w:styleId="1065">
    <w:name w:val="Title"/>
    <w:basedOn w:val="1032"/>
    <w:next w:val="1032"/>
    <w:link w:val="1085"/>
    <w:uiPriority w:val="10"/>
    <w:qFormat/>
    <w:pPr>
      <w:contextualSpacing/>
      <w:spacing w:before="300" w:after="200"/>
    </w:pPr>
    <w:rPr>
      <w:sz w:val="48"/>
      <w:szCs w:val="48"/>
    </w:rPr>
  </w:style>
  <w:style w:type="paragraph" w:styleId="1066">
    <w:name w:val="annotation subject"/>
    <w:basedOn w:val="1046"/>
    <w:next w:val="1046"/>
    <w:link w:val="1503"/>
    <w:uiPriority w:val="99"/>
    <w:semiHidden/>
    <w:unhideWhenUsed/>
    <w:qFormat/>
    <w:rPr>
      <w:b/>
      <w:bCs/>
    </w:rPr>
  </w:style>
  <w:style w:type="table" w:styleId="10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8">
    <w:name w:val="Strong"/>
    <w:uiPriority w:val="0"/>
    <w:qFormat/>
    <w:rPr>
      <w:b/>
    </w:rPr>
  </w:style>
  <w:style w:type="character" w:styleId="1069">
    <w:name w:val="endnote reference"/>
    <w:uiPriority w:val="99"/>
    <w:semiHidden/>
    <w:unhideWhenUsed/>
    <w:qFormat/>
    <w:rPr>
      <w:vertAlign w:val="superscript"/>
    </w:rPr>
  </w:style>
  <w:style w:type="character" w:styleId="1070">
    <w:name w:val="Hyperlink"/>
    <w:uiPriority w:val="99"/>
    <w:unhideWhenUsed/>
    <w:qFormat/>
    <w:rPr>
      <w:color w:val="0000ff" w:themeColor="hyperlink"/>
      <w:u w:val="single"/>
      <w14:textFill>
        <w14:solidFill>
          <w14:schemeClr w14:val="hlink"/>
        </w14:solidFill>
      </w14:textFill>
    </w:rPr>
  </w:style>
  <w:style w:type="character" w:styleId="1071">
    <w:name w:val="annotation reference"/>
    <w:basedOn w:val="1042"/>
    <w:uiPriority w:val="99"/>
    <w:semiHidden/>
    <w:unhideWhenUsed/>
    <w:qFormat/>
    <w:rPr>
      <w:sz w:val="21"/>
      <w:szCs w:val="21"/>
    </w:rPr>
  </w:style>
  <w:style w:type="character" w:styleId="1072">
    <w:name w:val="footnote reference"/>
    <w:uiPriority w:val="99"/>
    <w:unhideWhenUsed/>
    <w:qFormat/>
    <w:rPr>
      <w:vertAlign w:val="superscript"/>
    </w:rPr>
  </w:style>
  <w:style w:type="paragraph" w:styleId="107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74" w:customStyle="1">
    <w:name w:val="段"/>
    <w:next w:val="1032"/>
    <w:uiPriority w:val="0"/>
    <w:qFormat/>
    <w:pPr>
      <w:ind w:firstLine="200"/>
      <w:jc w:val="both"/>
    </w:pPr>
    <w:rPr>
      <w:rFonts w:ascii="宋体" w:hAnsi="Times New Roman" w:eastAsia="Times New Roman" w:cs="Times New Roman"/>
      <w:sz w:val="21"/>
      <w:lang w:val="en-US" w:eastAsia="zh-CN" w:bidi="ar-SA"/>
    </w:rPr>
  </w:style>
  <w:style w:type="character" w:styleId="1075" w:customStyle="1">
    <w:name w:val="标题 1 字符1"/>
    <w:link w:val="1033"/>
    <w:uiPriority w:val="9"/>
    <w:qFormat/>
    <w:rPr>
      <w:rFonts w:ascii="Arial" w:hAnsi="Arial" w:eastAsia="Arial" w:cs="Arial"/>
      <w:sz w:val="40"/>
      <w:szCs w:val="40"/>
    </w:rPr>
  </w:style>
  <w:style w:type="character" w:styleId="1076" w:customStyle="1">
    <w:name w:val="标题 2 字符1"/>
    <w:link w:val="1034"/>
    <w:uiPriority w:val="9"/>
    <w:qFormat/>
    <w:rPr>
      <w:rFonts w:ascii="Arial" w:hAnsi="Arial" w:eastAsia="Arial" w:cs="Arial"/>
      <w:sz w:val="34"/>
    </w:rPr>
  </w:style>
  <w:style w:type="character" w:styleId="1077" w:customStyle="1">
    <w:name w:val="Heading 3 Char"/>
    <w:uiPriority w:val="9"/>
    <w:qFormat/>
    <w:rPr>
      <w:rFonts w:ascii="Arial" w:hAnsi="Arial" w:eastAsia="Arial" w:cs="Arial"/>
      <w:sz w:val="30"/>
      <w:szCs w:val="30"/>
    </w:rPr>
  </w:style>
  <w:style w:type="character" w:styleId="1078" w:customStyle="1">
    <w:name w:val="标题 4 字符1"/>
    <w:link w:val="1036"/>
    <w:uiPriority w:val="9"/>
    <w:qFormat/>
    <w:rPr>
      <w:rFonts w:ascii="Arial" w:hAnsi="Arial" w:eastAsia="Arial" w:cs="Arial"/>
      <w:b/>
      <w:bCs/>
      <w:sz w:val="26"/>
      <w:szCs w:val="26"/>
    </w:rPr>
  </w:style>
  <w:style w:type="character" w:styleId="1079" w:customStyle="1">
    <w:name w:val="标题 5 字符1"/>
    <w:link w:val="1037"/>
    <w:uiPriority w:val="9"/>
    <w:qFormat/>
    <w:rPr>
      <w:rFonts w:ascii="Arial" w:hAnsi="Arial" w:eastAsia="Arial" w:cs="Arial"/>
      <w:b/>
      <w:bCs/>
      <w:sz w:val="24"/>
      <w:szCs w:val="24"/>
    </w:rPr>
  </w:style>
  <w:style w:type="character" w:styleId="1080" w:customStyle="1">
    <w:name w:val="标题 6 字符1"/>
    <w:link w:val="1038"/>
    <w:uiPriority w:val="9"/>
    <w:qFormat/>
    <w:rPr>
      <w:rFonts w:ascii="Arial" w:hAnsi="Arial" w:eastAsia="Arial" w:cs="Arial"/>
      <w:b/>
      <w:bCs/>
      <w:sz w:val="22"/>
      <w:szCs w:val="22"/>
    </w:rPr>
  </w:style>
  <w:style w:type="character" w:styleId="1081" w:customStyle="1">
    <w:name w:val="标题 7 字符1"/>
    <w:link w:val="1039"/>
    <w:uiPriority w:val="9"/>
    <w:qFormat/>
    <w:rPr>
      <w:rFonts w:ascii="Arial" w:hAnsi="Arial" w:eastAsia="Arial" w:cs="Arial"/>
      <w:b/>
      <w:bCs/>
      <w:i/>
      <w:iCs/>
      <w:sz w:val="22"/>
      <w:szCs w:val="22"/>
    </w:rPr>
  </w:style>
  <w:style w:type="character" w:styleId="1082" w:customStyle="1">
    <w:name w:val="标题 8 字符1"/>
    <w:link w:val="1040"/>
    <w:uiPriority w:val="9"/>
    <w:qFormat/>
    <w:rPr>
      <w:rFonts w:ascii="Arial" w:hAnsi="Arial" w:eastAsia="Arial" w:cs="Arial"/>
      <w:i/>
      <w:iCs/>
      <w:sz w:val="22"/>
      <w:szCs w:val="22"/>
    </w:rPr>
  </w:style>
  <w:style w:type="character" w:styleId="1083" w:customStyle="1">
    <w:name w:val="标题 9 字符1"/>
    <w:link w:val="1041"/>
    <w:uiPriority w:val="9"/>
    <w:qFormat/>
    <w:rPr>
      <w:rFonts w:ascii="Arial" w:hAnsi="Arial" w:eastAsia="Arial" w:cs="Arial"/>
      <w:i/>
      <w:iCs/>
      <w:sz w:val="21"/>
      <w:szCs w:val="21"/>
    </w:rPr>
  </w:style>
  <w:style w:type="paragraph" w:styleId="1084">
    <w:name w:val="No Spacing"/>
    <w:uiPriority w:val="1"/>
    <w:qFormat/>
    <w:rPr>
      <w:rFonts w:ascii="Times New Roman" w:hAnsi="Times New Roman" w:eastAsia="宋体" w:cs="Times New Roman"/>
      <w:lang w:val="en-US" w:eastAsia="zh-CN" w:bidi="ar-SA"/>
    </w:rPr>
  </w:style>
  <w:style w:type="character" w:styleId="1085" w:customStyle="1">
    <w:name w:val="标题 字符1"/>
    <w:link w:val="1065"/>
    <w:uiPriority w:val="10"/>
    <w:qFormat/>
    <w:rPr>
      <w:sz w:val="48"/>
      <w:szCs w:val="48"/>
    </w:rPr>
  </w:style>
  <w:style w:type="character" w:styleId="1086" w:customStyle="1">
    <w:name w:val="副标题 字符"/>
    <w:link w:val="1058"/>
    <w:uiPriority w:val="11"/>
    <w:qFormat/>
    <w:rPr>
      <w:sz w:val="24"/>
      <w:szCs w:val="24"/>
    </w:rPr>
  </w:style>
  <w:style w:type="paragraph" w:styleId="1087">
    <w:name w:val="Quote"/>
    <w:basedOn w:val="1032"/>
    <w:next w:val="1032"/>
    <w:link w:val="1088"/>
    <w:uiPriority w:val="29"/>
    <w:qFormat/>
    <w:pPr>
      <w:ind w:left="720" w:right="720"/>
    </w:pPr>
    <w:rPr>
      <w:i/>
    </w:rPr>
  </w:style>
  <w:style w:type="character" w:styleId="1088" w:customStyle="1">
    <w:name w:val="引用 字符"/>
    <w:link w:val="1087"/>
    <w:uiPriority w:val="29"/>
    <w:qFormat/>
    <w:rPr>
      <w:i/>
    </w:rPr>
  </w:style>
  <w:style w:type="paragraph" w:styleId="1089">
    <w:name w:val="Intense Quote"/>
    <w:basedOn w:val="1032"/>
    <w:next w:val="1032"/>
    <w:link w:val="10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0" w:customStyle="1">
    <w:name w:val="明显引用 字符"/>
    <w:link w:val="1089"/>
    <w:uiPriority w:val="30"/>
    <w:qFormat/>
    <w:rPr>
      <w:i/>
    </w:rPr>
  </w:style>
  <w:style w:type="character" w:styleId="1091" w:customStyle="1">
    <w:name w:val="页眉 字符1"/>
    <w:link w:val="1055"/>
    <w:uiPriority w:val="99"/>
    <w:qFormat/>
  </w:style>
  <w:style w:type="character" w:styleId="1092" w:customStyle="1">
    <w:name w:val="Footer Char"/>
    <w:uiPriority w:val="99"/>
    <w:qFormat/>
  </w:style>
  <w:style w:type="character" w:styleId="1093" w:customStyle="1">
    <w:name w:val="页脚 字符1"/>
    <w:link w:val="1054"/>
    <w:uiPriority w:val="99"/>
    <w:qFormat/>
  </w:style>
  <w:style w:type="table" w:styleId="10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9" w:customStyle="1">
    <w:name w:val="脚注文本 字符"/>
    <w:link w:val="1059"/>
    <w:uiPriority w:val="99"/>
    <w:qFormat/>
    <w:rPr>
      <w:sz w:val="18"/>
    </w:rPr>
  </w:style>
  <w:style w:type="character" w:styleId="1220" w:customStyle="1">
    <w:name w:val="尾注文本 字符"/>
    <w:link w:val="1053"/>
    <w:uiPriority w:val="99"/>
    <w:qFormat/>
    <w:rPr>
      <w:sz w:val="20"/>
    </w:rPr>
  </w:style>
  <w:style w:type="paragraph" w:styleId="1221" w:customStyle="1">
    <w:name w:val="TOC 标题1"/>
    <w:uiPriority w:val="39"/>
    <w:unhideWhenUsed/>
    <w:qFormat/>
    <w:rPr>
      <w:rFonts w:ascii="Times New Roman" w:hAnsi="Times New Roman" w:eastAsia="宋体" w:cs="Times New Roman"/>
      <w:lang w:val="en-US" w:eastAsia="zh-CN" w:bidi="ar-SA"/>
    </w:rPr>
  </w:style>
  <w:style w:type="paragraph" w:styleId="1222" w:customStyle="1">
    <w:name w:val="标题 11"/>
    <w:basedOn w:val="1032"/>
    <w:next w:val="1032"/>
    <w:link w:val="1233"/>
    <w:uiPriority w:val="0"/>
    <w:qFormat/>
    <w:pPr>
      <w:jc w:val="center"/>
      <w:keepLines/>
      <w:keepNext/>
      <w:spacing w:before="240" w:after="120" w:line="300" w:lineRule="auto"/>
      <w:outlineLvl w:val="0"/>
    </w:pPr>
    <w:rPr>
      <w:rFonts w:ascii="宋体"/>
      <w:b/>
      <w:sz w:val="32"/>
      <w:szCs w:val="20"/>
    </w:rPr>
  </w:style>
  <w:style w:type="paragraph" w:styleId="1223" w:customStyle="1">
    <w:name w:val="标题 21"/>
    <w:basedOn w:val="1032"/>
    <w:next w:val="1032"/>
    <w:link w:val="1234"/>
    <w:uiPriority w:val="0"/>
    <w:qFormat/>
    <w:pPr>
      <w:jc w:val="center"/>
      <w:keepLines/>
      <w:keepNext/>
      <w:spacing w:before="120" w:line="300" w:lineRule="auto"/>
      <w:outlineLvl w:val="1"/>
    </w:pPr>
    <w:rPr>
      <w:rFonts w:ascii="Arial" w:hAnsi="Arial" w:eastAsia="黑体"/>
      <w:b/>
      <w:sz w:val="30"/>
      <w:szCs w:val="20"/>
    </w:rPr>
  </w:style>
  <w:style w:type="paragraph" w:styleId="1224" w:customStyle="1">
    <w:name w:val="标题 311"/>
    <w:basedOn w:val="1032"/>
    <w:next w:val="1032"/>
    <w:link w:val="1235"/>
    <w:uiPriority w:val="0"/>
    <w:qFormat/>
    <w:pPr>
      <w:jc w:val="left"/>
      <w:keepLines/>
      <w:keepNext/>
      <w:spacing w:before="360" w:after="120"/>
      <w:outlineLvl w:val="2"/>
    </w:pPr>
    <w:rPr>
      <w:rFonts w:ascii="宋体"/>
      <w:b/>
      <w:sz w:val="24"/>
      <w:szCs w:val="20"/>
      <w:u w:val="single"/>
    </w:rPr>
  </w:style>
  <w:style w:type="paragraph" w:styleId="1225" w:customStyle="1">
    <w:name w:val="标题 41"/>
    <w:basedOn w:val="1032"/>
    <w:next w:val="1032"/>
    <w:link w:val="1236"/>
    <w:uiPriority w:val="0"/>
    <w:qFormat/>
    <w:pPr>
      <w:keepLines/>
      <w:keepNext/>
      <w:spacing w:before="280" w:after="290" w:line="376" w:lineRule="atLeast"/>
      <w:outlineLvl w:val="3"/>
    </w:pPr>
    <w:rPr>
      <w:rFonts w:ascii="Arial" w:hAnsi="Arial" w:eastAsia="黑体"/>
      <w:b/>
      <w:sz w:val="28"/>
      <w:szCs w:val="20"/>
    </w:rPr>
  </w:style>
  <w:style w:type="paragraph" w:styleId="1226" w:customStyle="1">
    <w:name w:val="标题 51"/>
    <w:basedOn w:val="1032"/>
    <w:next w:val="1032"/>
    <w:link w:val="1237"/>
    <w:uiPriority w:val="0"/>
    <w:qFormat/>
    <w:pPr>
      <w:keepLines/>
      <w:keepNext/>
      <w:spacing w:before="280" w:after="290" w:line="376" w:lineRule="atLeast"/>
      <w:outlineLvl w:val="4"/>
    </w:pPr>
    <w:rPr>
      <w:b/>
      <w:sz w:val="28"/>
      <w:szCs w:val="20"/>
    </w:rPr>
  </w:style>
  <w:style w:type="paragraph" w:styleId="1227" w:customStyle="1">
    <w:name w:val="标题 61"/>
    <w:basedOn w:val="1032"/>
    <w:next w:val="1032"/>
    <w:link w:val="1238"/>
    <w:uiPriority w:val="0"/>
    <w:qFormat/>
    <w:pPr>
      <w:keepLines/>
      <w:keepNext/>
      <w:spacing w:before="240" w:after="64" w:line="320" w:lineRule="atLeast"/>
      <w:outlineLvl w:val="5"/>
    </w:pPr>
    <w:rPr>
      <w:rFonts w:ascii="Arial" w:hAnsi="Arial" w:eastAsia="黑体"/>
      <w:b/>
      <w:sz w:val="24"/>
      <w:szCs w:val="20"/>
    </w:rPr>
  </w:style>
  <w:style w:type="paragraph" w:styleId="1228" w:customStyle="1">
    <w:name w:val="标题 71"/>
    <w:basedOn w:val="1032"/>
    <w:next w:val="1032"/>
    <w:link w:val="1239"/>
    <w:uiPriority w:val="0"/>
    <w:qFormat/>
    <w:pPr>
      <w:keepLines/>
      <w:keepNext/>
      <w:spacing w:before="240" w:after="64" w:line="320" w:lineRule="atLeast"/>
      <w:outlineLvl w:val="6"/>
    </w:pPr>
    <w:rPr>
      <w:b/>
      <w:sz w:val="24"/>
      <w:szCs w:val="20"/>
    </w:rPr>
  </w:style>
  <w:style w:type="paragraph" w:styleId="1229" w:customStyle="1">
    <w:name w:val="标题 81"/>
    <w:basedOn w:val="1032"/>
    <w:next w:val="1032"/>
    <w:link w:val="1240"/>
    <w:uiPriority w:val="0"/>
    <w:qFormat/>
    <w:pPr>
      <w:keepLines/>
      <w:keepNext/>
      <w:spacing w:before="240" w:after="64" w:line="320" w:lineRule="atLeast"/>
      <w:outlineLvl w:val="7"/>
    </w:pPr>
    <w:rPr>
      <w:rFonts w:ascii="Arial" w:hAnsi="Arial" w:eastAsia="黑体"/>
      <w:sz w:val="24"/>
      <w:szCs w:val="20"/>
    </w:rPr>
  </w:style>
  <w:style w:type="paragraph" w:styleId="1230" w:customStyle="1">
    <w:name w:val="标题 91"/>
    <w:basedOn w:val="1032"/>
    <w:next w:val="1032"/>
    <w:link w:val="1241"/>
    <w:uiPriority w:val="0"/>
    <w:qFormat/>
    <w:pPr>
      <w:keepLines/>
      <w:keepNext/>
      <w:spacing w:before="240" w:after="64" w:line="320" w:lineRule="atLeast"/>
      <w:outlineLvl w:val="8"/>
    </w:pPr>
    <w:rPr>
      <w:rFonts w:ascii="Arial" w:hAnsi="Arial" w:eastAsia="黑体"/>
      <w:szCs w:val="20"/>
    </w:rPr>
  </w:style>
  <w:style w:type="character" w:styleId="1231" w:customStyle="1">
    <w:name w:val="默认段落字体1"/>
    <w:uiPriority w:val="1"/>
    <w:unhideWhenUsed/>
    <w:qFormat/>
  </w:style>
  <w:style w:type="table" w:styleId="1232" w:customStyle="1">
    <w:name w:val="普通表格1"/>
    <w:uiPriority w:val="99"/>
    <w:unhideWhenUsed/>
    <w:qFormat/>
    <w:tblPr>
      <w:tblCellMar>
        <w:left w:w="0" w:type="dxa"/>
        <w:top w:w="0" w:type="dxa"/>
        <w:right w:w="0" w:type="dxa"/>
        <w:bottom w:w="0" w:type="dxa"/>
      </w:tblCellMar>
    </w:tblPr>
  </w:style>
  <w:style w:type="character" w:styleId="1233" w:customStyle="1">
    <w:name w:val="标题 1 字符"/>
    <w:link w:val="1222"/>
    <w:uiPriority w:val="0"/>
    <w:qFormat/>
    <w:rPr>
      <w:rFonts w:ascii="宋体"/>
      <w:b/>
      <w:sz w:val="32"/>
    </w:rPr>
  </w:style>
  <w:style w:type="character" w:styleId="1234" w:customStyle="1">
    <w:name w:val="标题 2 字符"/>
    <w:link w:val="1223"/>
    <w:uiPriority w:val="0"/>
    <w:qFormat/>
    <w:rPr>
      <w:rFonts w:ascii="Arial" w:hAnsi="Arial" w:eastAsia="黑体"/>
      <w:b/>
      <w:sz w:val="30"/>
      <w:lang w:val="en-US" w:eastAsia="zh-CN" w:bidi="ar-SA"/>
    </w:rPr>
  </w:style>
  <w:style w:type="character" w:styleId="1235" w:customStyle="1">
    <w:name w:val="标题 3 字符"/>
    <w:link w:val="1224"/>
    <w:uiPriority w:val="0"/>
    <w:qFormat/>
    <w:rPr>
      <w:rFonts w:ascii="宋体" w:eastAsia="宋体"/>
      <w:b/>
      <w:sz w:val="24"/>
      <w:u w:val="single"/>
      <w:lang w:val="en-US" w:eastAsia="zh-CN" w:bidi="ar-SA"/>
    </w:rPr>
  </w:style>
  <w:style w:type="character" w:styleId="1236" w:customStyle="1">
    <w:name w:val="标题 4 字符"/>
    <w:link w:val="1225"/>
    <w:uiPriority w:val="0"/>
    <w:qFormat/>
    <w:rPr>
      <w:rFonts w:ascii="Arial" w:hAnsi="Arial" w:eastAsia="黑体"/>
      <w:b/>
      <w:sz w:val="28"/>
    </w:rPr>
  </w:style>
  <w:style w:type="character" w:styleId="1237" w:customStyle="1">
    <w:name w:val="标题 5 字符"/>
    <w:link w:val="1226"/>
    <w:uiPriority w:val="0"/>
    <w:qFormat/>
    <w:rPr>
      <w:b/>
      <w:sz w:val="28"/>
    </w:rPr>
  </w:style>
  <w:style w:type="character" w:styleId="1238" w:customStyle="1">
    <w:name w:val="标题 6 字符"/>
    <w:link w:val="1227"/>
    <w:uiPriority w:val="0"/>
    <w:qFormat/>
    <w:rPr>
      <w:rFonts w:ascii="Arial" w:hAnsi="Arial" w:eastAsia="黑体"/>
      <w:b/>
      <w:sz w:val="24"/>
    </w:rPr>
  </w:style>
  <w:style w:type="character" w:styleId="1239" w:customStyle="1">
    <w:name w:val="标题 7 字符"/>
    <w:link w:val="1228"/>
    <w:uiPriority w:val="0"/>
    <w:qFormat/>
    <w:rPr>
      <w:b/>
      <w:sz w:val="24"/>
    </w:rPr>
  </w:style>
  <w:style w:type="character" w:styleId="1240" w:customStyle="1">
    <w:name w:val="标题 8 字符"/>
    <w:link w:val="1229"/>
    <w:uiPriority w:val="0"/>
    <w:qFormat/>
    <w:rPr>
      <w:rFonts w:ascii="Arial" w:hAnsi="Arial" w:eastAsia="黑体"/>
      <w:sz w:val="24"/>
    </w:rPr>
  </w:style>
  <w:style w:type="character" w:styleId="1241" w:customStyle="1">
    <w:name w:val="标题 9 字符"/>
    <w:link w:val="1230"/>
    <w:uiPriority w:val="0"/>
    <w:qFormat/>
    <w:rPr>
      <w:rFonts w:ascii="Arial" w:hAnsi="Arial" w:eastAsia="黑体"/>
      <w:sz w:val="21"/>
    </w:rPr>
  </w:style>
  <w:style w:type="paragraph" w:styleId="1242" w:customStyle="1">
    <w:name w:val="目录 71"/>
    <w:basedOn w:val="1032"/>
    <w:next w:val="1032"/>
    <w:uiPriority w:val="0"/>
    <w:qFormat/>
    <w:pPr>
      <w:ind w:left="2520"/>
    </w:pPr>
  </w:style>
  <w:style w:type="paragraph" w:styleId="1243" w:customStyle="1">
    <w:name w:val="正文缩进11"/>
    <w:basedOn w:val="1032"/>
    <w:next w:val="1032"/>
    <w:link w:val="1244"/>
    <w:uiPriority w:val="0"/>
    <w:qFormat/>
    <w:pPr>
      <w:ind w:firstLine="420"/>
      <w:jc w:val="left"/>
    </w:pPr>
    <w:rPr>
      <w:rFonts w:ascii="宋体"/>
      <w:sz w:val="24"/>
    </w:rPr>
  </w:style>
  <w:style w:type="character" w:styleId="1244" w:customStyle="1">
    <w:name w:val="正文缩进 字符"/>
    <w:link w:val="1243"/>
    <w:uiPriority w:val="0"/>
    <w:qFormat/>
    <w:rPr>
      <w:rFonts w:ascii="宋体" w:eastAsia="宋体"/>
      <w:sz w:val="24"/>
      <w:szCs w:val="24"/>
      <w:lang w:val="en-US" w:eastAsia="zh-CN" w:bidi="ar-SA"/>
    </w:rPr>
  </w:style>
  <w:style w:type="paragraph" w:styleId="1245" w:customStyle="1">
    <w:name w:val="题注1"/>
    <w:basedOn w:val="1032"/>
    <w:next w:val="1032"/>
    <w:uiPriority w:val="0"/>
    <w:qFormat/>
    <w:pPr>
      <w:spacing w:line="480" w:lineRule="auto"/>
    </w:pPr>
    <w:rPr>
      <w:rFonts w:ascii="华文中宋" w:hAnsi="华文中宋" w:eastAsia="华文中宋"/>
      <w:sz w:val="36"/>
      <w:szCs w:val="20"/>
    </w:rPr>
  </w:style>
  <w:style w:type="paragraph" w:styleId="1246" w:customStyle="1">
    <w:name w:val="文档结构图1"/>
    <w:basedOn w:val="1032"/>
    <w:link w:val="1247"/>
    <w:uiPriority w:val="0"/>
    <w:qFormat/>
    <w:pPr>
      <w:shd w:val="clear" w:color="auto" w:fill="000080"/>
    </w:pPr>
  </w:style>
  <w:style w:type="character" w:styleId="1247" w:customStyle="1">
    <w:name w:val="文档结构图 字符"/>
    <w:link w:val="1246"/>
    <w:uiPriority w:val="0"/>
    <w:qFormat/>
    <w:rPr>
      <w:sz w:val="21"/>
      <w:szCs w:val="24"/>
      <w:shd w:val="clear" w:color="auto" w:fill="000080"/>
    </w:rPr>
  </w:style>
  <w:style w:type="paragraph" w:styleId="1248" w:customStyle="1">
    <w:name w:val="批注文字1"/>
    <w:basedOn w:val="1032"/>
    <w:link w:val="1249"/>
    <w:uiPriority w:val="99"/>
    <w:qFormat/>
    <w:pPr>
      <w:jc w:val="left"/>
    </w:pPr>
  </w:style>
  <w:style w:type="character" w:styleId="1249" w:customStyle="1">
    <w:name w:val="批注文字 字符1"/>
    <w:link w:val="1248"/>
    <w:uiPriority w:val="99"/>
    <w:qFormat/>
    <w:rPr>
      <w:sz w:val="21"/>
      <w:szCs w:val="24"/>
    </w:rPr>
  </w:style>
  <w:style w:type="paragraph" w:styleId="1250" w:customStyle="1">
    <w:name w:val="正文文本 31"/>
    <w:basedOn w:val="1032"/>
    <w:link w:val="1251"/>
    <w:uiPriority w:val="0"/>
    <w:qFormat/>
    <w:pPr>
      <w:spacing w:after="120"/>
    </w:pPr>
    <w:rPr>
      <w:sz w:val="16"/>
      <w:szCs w:val="16"/>
    </w:rPr>
  </w:style>
  <w:style w:type="character" w:styleId="1251" w:customStyle="1">
    <w:name w:val="正文文本 3 字符"/>
    <w:link w:val="1250"/>
    <w:uiPriority w:val="0"/>
    <w:qFormat/>
    <w:rPr>
      <w:sz w:val="16"/>
      <w:szCs w:val="16"/>
    </w:rPr>
  </w:style>
  <w:style w:type="paragraph" w:styleId="1252" w:customStyle="1">
    <w:name w:val="正文文本11"/>
    <w:basedOn w:val="1032"/>
    <w:next w:val="1032"/>
    <w:link w:val="1253"/>
    <w:uiPriority w:val="0"/>
    <w:qFormat/>
    <w:pPr>
      <w:spacing w:before="120" w:line="22" w:lineRule="atLeast"/>
      <w:tabs>
        <w:tab w:val="left" w:pos="567" w:leader="none"/>
      </w:tabs>
    </w:pPr>
    <w:rPr>
      <w:rFonts w:ascii="宋体" w:hAnsi="宋体"/>
      <w:sz w:val="24"/>
    </w:rPr>
  </w:style>
  <w:style w:type="character" w:styleId="1253" w:customStyle="1">
    <w:name w:val="正文文本 字符"/>
    <w:link w:val="1252"/>
    <w:uiPriority w:val="0"/>
    <w:qFormat/>
    <w:rPr>
      <w:rFonts w:ascii="宋体" w:hAnsi="宋体"/>
      <w:sz w:val="24"/>
      <w:szCs w:val="24"/>
    </w:rPr>
  </w:style>
  <w:style w:type="paragraph" w:styleId="1254" w:customStyle="1">
    <w:name w:val="正文文本缩进11"/>
    <w:basedOn w:val="1032"/>
    <w:link w:val="1255"/>
    <w:uiPriority w:val="0"/>
    <w:qFormat/>
    <w:pPr>
      <w:ind w:firstLine="570"/>
      <w:spacing w:line="360" w:lineRule="auto"/>
    </w:pPr>
    <w:rPr>
      <w:sz w:val="24"/>
    </w:rPr>
  </w:style>
  <w:style w:type="character" w:styleId="1255" w:customStyle="1">
    <w:name w:val="正文文本缩进 字符"/>
    <w:link w:val="1254"/>
    <w:uiPriority w:val="0"/>
    <w:qFormat/>
    <w:rPr>
      <w:rFonts w:eastAsia="宋体"/>
      <w:sz w:val="24"/>
      <w:szCs w:val="24"/>
      <w:lang w:val="en-US" w:eastAsia="zh-CN" w:bidi="ar-SA"/>
    </w:rPr>
  </w:style>
  <w:style w:type="paragraph" w:styleId="1256" w:customStyle="1">
    <w:name w:val="列表 21"/>
    <w:basedOn w:val="1032"/>
    <w:uiPriority w:val="0"/>
    <w:qFormat/>
    <w:pPr>
      <w:ind w:left="100" w:hanging="200"/>
    </w:pPr>
  </w:style>
  <w:style w:type="paragraph" w:styleId="1257" w:customStyle="1">
    <w:name w:val="文本块1"/>
    <w:basedOn w:val="1032"/>
    <w:uiPriority w:val="0"/>
    <w:qFormat/>
    <w:pPr>
      <w:ind w:left="480" w:right="-341" w:firstLine="513"/>
      <w:widowControl/>
    </w:pPr>
    <w:rPr>
      <w:sz w:val="24"/>
      <w:szCs w:val="20"/>
    </w:rPr>
  </w:style>
  <w:style w:type="paragraph" w:styleId="1258" w:customStyle="1">
    <w:name w:val="目录 51"/>
    <w:basedOn w:val="1032"/>
    <w:next w:val="1032"/>
    <w:uiPriority w:val="0"/>
    <w:qFormat/>
    <w:pPr>
      <w:ind w:left="1680"/>
    </w:pPr>
  </w:style>
  <w:style w:type="paragraph" w:styleId="1259" w:customStyle="1">
    <w:name w:val="目录 31"/>
    <w:basedOn w:val="1032"/>
    <w:next w:val="1032"/>
    <w:uiPriority w:val="39"/>
    <w:qFormat/>
    <w:pPr>
      <w:ind w:left="840"/>
    </w:pPr>
  </w:style>
  <w:style w:type="paragraph" w:styleId="1260" w:customStyle="1">
    <w:name w:val="纯文本1"/>
    <w:basedOn w:val="1032"/>
    <w:link w:val="1261"/>
    <w:uiPriority w:val="0"/>
    <w:qFormat/>
    <w:rPr>
      <w:rFonts w:hint="eastAsia" w:ascii="宋体" w:hAnsi="Courier New"/>
      <w:szCs w:val="20"/>
    </w:rPr>
  </w:style>
  <w:style w:type="character" w:styleId="1261" w:customStyle="1">
    <w:name w:val="纯文本 字符2"/>
    <w:link w:val="1260"/>
    <w:uiPriority w:val="0"/>
    <w:qFormat/>
    <w:rPr>
      <w:rFonts w:hint="eastAsia" w:ascii="宋体" w:hAnsi="Courier New" w:eastAsia="宋体" w:cs="宋体"/>
      <w:sz w:val="21"/>
    </w:rPr>
  </w:style>
  <w:style w:type="paragraph" w:styleId="1262" w:customStyle="1">
    <w:name w:val="目录 81"/>
    <w:basedOn w:val="1032"/>
    <w:next w:val="1032"/>
    <w:uiPriority w:val="0"/>
    <w:qFormat/>
    <w:pPr>
      <w:ind w:left="2940"/>
    </w:pPr>
  </w:style>
  <w:style w:type="paragraph" w:styleId="1263" w:customStyle="1">
    <w:name w:val="日期1"/>
    <w:basedOn w:val="1032"/>
    <w:next w:val="1032"/>
    <w:link w:val="1264"/>
    <w:uiPriority w:val="0"/>
    <w:qFormat/>
    <w:pPr>
      <w:ind w:left="100"/>
    </w:pPr>
    <w:rPr>
      <w:rFonts w:ascii="仿宋_GB2312" w:hAnsi="宋体" w:eastAsia="仿宋_GB2312"/>
      <w:color w:val="000000"/>
      <w:sz w:val="24"/>
    </w:rPr>
  </w:style>
  <w:style w:type="character" w:styleId="1264" w:customStyle="1">
    <w:name w:val="日期 字符"/>
    <w:link w:val="1263"/>
    <w:uiPriority w:val="0"/>
    <w:qFormat/>
    <w:rPr>
      <w:rFonts w:ascii="仿宋_GB2312" w:hAnsi="宋体" w:eastAsia="仿宋_GB2312"/>
      <w:color w:val="000000"/>
      <w:sz w:val="24"/>
      <w:szCs w:val="24"/>
    </w:rPr>
  </w:style>
  <w:style w:type="paragraph" w:styleId="1265" w:customStyle="1">
    <w:name w:val="正文文本缩进 21"/>
    <w:basedOn w:val="1032"/>
    <w:link w:val="1266"/>
    <w:uiPriority w:val="0"/>
    <w:qFormat/>
    <w:pPr>
      <w:ind w:firstLine="480"/>
    </w:pPr>
    <w:rPr>
      <w:rFonts w:ascii="仿宋_GB2312" w:eastAsia="仿宋_GB2312"/>
      <w:sz w:val="24"/>
    </w:rPr>
  </w:style>
  <w:style w:type="character" w:styleId="1266" w:customStyle="1">
    <w:name w:val="正文文本缩进 2 字符"/>
    <w:link w:val="1265"/>
    <w:uiPriority w:val="0"/>
    <w:qFormat/>
    <w:rPr>
      <w:rFonts w:ascii="仿宋_GB2312" w:eastAsia="仿宋_GB2312"/>
      <w:sz w:val="24"/>
      <w:szCs w:val="24"/>
    </w:rPr>
  </w:style>
  <w:style w:type="paragraph" w:styleId="1267" w:customStyle="1">
    <w:name w:val="批注框文本1"/>
    <w:basedOn w:val="1032"/>
    <w:link w:val="1268"/>
    <w:uiPriority w:val="0"/>
    <w:qFormat/>
    <w:rPr>
      <w:sz w:val="18"/>
      <w:szCs w:val="18"/>
    </w:rPr>
  </w:style>
  <w:style w:type="character" w:styleId="1268" w:customStyle="1">
    <w:name w:val="批注框文本 字符"/>
    <w:link w:val="1267"/>
    <w:uiPriority w:val="0"/>
    <w:qFormat/>
    <w:rPr>
      <w:sz w:val="18"/>
      <w:szCs w:val="18"/>
    </w:rPr>
  </w:style>
  <w:style w:type="paragraph" w:styleId="1269" w:customStyle="1">
    <w:name w:val="页脚1"/>
    <w:basedOn w:val="1032"/>
    <w:link w:val="1270"/>
    <w:uiPriority w:val="99"/>
    <w:qFormat/>
    <w:pPr>
      <w:jc w:val="left"/>
      <w:tabs>
        <w:tab w:val="center" w:pos="4153" w:leader="none"/>
        <w:tab w:val="right" w:pos="8306" w:leader="none"/>
      </w:tabs>
    </w:pPr>
    <w:rPr>
      <w:rFonts w:ascii="宋体"/>
      <w:sz w:val="18"/>
      <w:szCs w:val="20"/>
    </w:rPr>
  </w:style>
  <w:style w:type="character" w:styleId="1270" w:customStyle="1">
    <w:name w:val="页脚 字符"/>
    <w:link w:val="1269"/>
    <w:uiPriority w:val="99"/>
    <w:qFormat/>
    <w:rPr>
      <w:rFonts w:ascii="宋体" w:eastAsia="宋体"/>
      <w:sz w:val="18"/>
      <w:lang w:val="en-US" w:eastAsia="zh-CN" w:bidi="ar-SA"/>
    </w:rPr>
  </w:style>
  <w:style w:type="paragraph" w:styleId="1271" w:customStyle="1">
    <w:name w:val="页眉1"/>
    <w:basedOn w:val="1032"/>
    <w:link w:val="1272"/>
    <w:uiPriority w:val="0"/>
    <w:qFormat/>
    <w:pPr>
      <w:jc w:val="center"/>
      <w:tabs>
        <w:tab w:val="center" w:pos="4153" w:leader="none"/>
        <w:tab w:val="right" w:pos="8306" w:leader="none"/>
      </w:tabs>
      <w:pBdr>
        <w:bottom w:val="single" w:color="000000" w:sz="6" w:space="1"/>
      </w:pBdr>
    </w:pPr>
    <w:rPr>
      <w:sz w:val="18"/>
      <w:szCs w:val="18"/>
    </w:rPr>
  </w:style>
  <w:style w:type="character" w:styleId="1272" w:customStyle="1">
    <w:name w:val="页眉 字符"/>
    <w:link w:val="1271"/>
    <w:uiPriority w:val="0"/>
    <w:qFormat/>
    <w:rPr>
      <w:rFonts w:eastAsia="宋体"/>
      <w:sz w:val="18"/>
      <w:szCs w:val="18"/>
      <w:lang w:val="en-US" w:eastAsia="zh-CN" w:bidi="ar-SA"/>
    </w:rPr>
  </w:style>
  <w:style w:type="paragraph" w:styleId="1273" w:customStyle="1">
    <w:name w:val="目录 11"/>
    <w:basedOn w:val="1032"/>
    <w:next w:val="1032"/>
    <w:uiPriority w:val="39"/>
    <w:qFormat/>
    <w:pPr>
      <w:spacing w:line="300" w:lineRule="auto"/>
      <w:tabs>
        <w:tab w:val="left" w:pos="1050" w:leader="none"/>
        <w:tab w:val="right" w:pos="8937" w:leader="dot"/>
      </w:tabs>
    </w:pPr>
    <w:rPr>
      <w:rFonts w:ascii="宋体" w:hAnsi="宋体"/>
      <w:b/>
      <w:sz w:val="24"/>
    </w:rPr>
  </w:style>
  <w:style w:type="paragraph" w:styleId="1274" w:customStyle="1">
    <w:name w:val="目录 41"/>
    <w:basedOn w:val="1032"/>
    <w:next w:val="1032"/>
    <w:uiPriority w:val="0"/>
    <w:qFormat/>
    <w:pPr>
      <w:ind w:left="1260"/>
    </w:pPr>
  </w:style>
  <w:style w:type="paragraph" w:styleId="1275" w:customStyle="1">
    <w:name w:val="目录 61"/>
    <w:basedOn w:val="1032"/>
    <w:next w:val="1032"/>
    <w:uiPriority w:val="0"/>
    <w:qFormat/>
    <w:pPr>
      <w:ind w:left="2100"/>
    </w:pPr>
  </w:style>
  <w:style w:type="paragraph" w:styleId="1276" w:customStyle="1">
    <w:name w:val="正文文本缩进 31"/>
    <w:basedOn w:val="1032"/>
    <w:link w:val="1277"/>
    <w:uiPriority w:val="0"/>
    <w:qFormat/>
    <w:pPr>
      <w:ind w:left="720" w:firstLine="480"/>
      <w:jc w:val="left"/>
      <w:spacing w:before="120" w:line="22" w:lineRule="atLeast"/>
    </w:pPr>
    <w:rPr>
      <w:rFonts w:ascii="宋体"/>
      <w:sz w:val="24"/>
      <w:szCs w:val="20"/>
    </w:rPr>
  </w:style>
  <w:style w:type="character" w:styleId="1277" w:customStyle="1">
    <w:name w:val="正文文本缩进 3 字符"/>
    <w:link w:val="1276"/>
    <w:uiPriority w:val="0"/>
    <w:qFormat/>
    <w:rPr>
      <w:rFonts w:ascii="宋体"/>
      <w:sz w:val="24"/>
    </w:rPr>
  </w:style>
  <w:style w:type="paragraph" w:styleId="1278" w:customStyle="1">
    <w:name w:val="目录 21"/>
    <w:basedOn w:val="1032"/>
    <w:next w:val="1032"/>
    <w:uiPriority w:val="39"/>
    <w:qFormat/>
    <w:pPr>
      <w:ind w:left="420"/>
      <w:spacing w:line="312" w:lineRule="auto"/>
      <w:tabs>
        <w:tab w:val="right" w:pos="8937" w:leader="dot"/>
      </w:tabs>
    </w:pPr>
  </w:style>
  <w:style w:type="paragraph" w:styleId="1279" w:customStyle="1">
    <w:name w:val="目录 91"/>
    <w:basedOn w:val="1032"/>
    <w:next w:val="1032"/>
    <w:uiPriority w:val="0"/>
    <w:qFormat/>
    <w:pPr>
      <w:ind w:left="3360"/>
    </w:pPr>
  </w:style>
  <w:style w:type="paragraph" w:styleId="1280" w:customStyle="1">
    <w:name w:val="HTML 预设格式1"/>
    <w:basedOn w:val="1032"/>
    <w:link w:val="12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81" w:customStyle="1">
    <w:name w:val="HTML 预设格式 字符"/>
    <w:link w:val="1280"/>
    <w:uiPriority w:val="0"/>
    <w:qFormat/>
    <w:rPr>
      <w:rFonts w:ascii="宋体" w:hAnsi="宋体" w:cs="宋体"/>
      <w:sz w:val="24"/>
      <w:szCs w:val="24"/>
    </w:rPr>
  </w:style>
  <w:style w:type="paragraph" w:styleId="1282" w:customStyle="1">
    <w:name w:val="普通(网站)11"/>
    <w:basedOn w:val="1032"/>
    <w:uiPriority w:val="99"/>
    <w:unhideWhenUsed/>
    <w:qFormat/>
    <w:pPr>
      <w:jc w:val="left"/>
      <w:spacing w:before="100" w:beforeAutospacing="1" w:after="100" w:afterAutospacing="1"/>
      <w:widowControl/>
    </w:pPr>
    <w:rPr>
      <w:rFonts w:ascii="宋体" w:hAnsi="宋体" w:cs="宋体"/>
      <w:sz w:val="24"/>
    </w:rPr>
  </w:style>
  <w:style w:type="paragraph" w:styleId="1283" w:customStyle="1">
    <w:name w:val="索引 11"/>
    <w:basedOn w:val="1032"/>
    <w:next w:val="1032"/>
    <w:uiPriority w:val="0"/>
    <w:qFormat/>
    <w:rPr>
      <w:szCs w:val="20"/>
    </w:rPr>
  </w:style>
  <w:style w:type="paragraph" w:styleId="1284" w:customStyle="1">
    <w:name w:val="标题1"/>
    <w:basedOn w:val="1032"/>
    <w:next w:val="1032"/>
    <w:link w:val="1285"/>
    <w:uiPriority w:val="0"/>
    <w:qFormat/>
    <w:pPr>
      <w:jc w:val="center"/>
      <w:outlineLvl w:val="0"/>
    </w:pPr>
    <w:rPr>
      <w:b/>
      <w:sz w:val="32"/>
      <w:szCs w:val="20"/>
    </w:rPr>
  </w:style>
  <w:style w:type="character" w:styleId="1285" w:customStyle="1">
    <w:name w:val="标题 字符"/>
    <w:link w:val="1284"/>
    <w:uiPriority w:val="0"/>
    <w:qFormat/>
    <w:rPr>
      <w:b/>
      <w:sz w:val="32"/>
    </w:rPr>
  </w:style>
  <w:style w:type="paragraph" w:styleId="1286" w:customStyle="1">
    <w:name w:val="批注主题1"/>
    <w:basedOn w:val="1248"/>
    <w:next w:val="1248"/>
    <w:link w:val="1287"/>
    <w:uiPriority w:val="0"/>
    <w:qFormat/>
    <w:rPr>
      <w:b/>
      <w:bCs/>
    </w:rPr>
  </w:style>
  <w:style w:type="character" w:styleId="1287" w:customStyle="1">
    <w:name w:val="批注主题 字符"/>
    <w:link w:val="1286"/>
    <w:uiPriority w:val="0"/>
    <w:qFormat/>
    <w:rPr>
      <w:rFonts w:ascii="Times New Roman" w:hAnsi="Times New Roman" w:eastAsia="宋体" w:cs="Times New Roman"/>
      <w:b/>
      <w:bCs/>
      <w:sz w:val="21"/>
      <w:szCs w:val="24"/>
      <w:lang w:val="en-US" w:eastAsia="zh-CN" w:bidi="ar-SA"/>
    </w:rPr>
  </w:style>
  <w:style w:type="paragraph" w:styleId="1288" w:customStyle="1">
    <w:name w:val="正文首行缩进1"/>
    <w:basedOn w:val="1252"/>
    <w:next w:val="1275"/>
    <w:uiPriority w:val="0"/>
    <w:qFormat/>
    <w:pPr>
      <w:ind w:firstLine="100"/>
      <w:jc w:val="left"/>
      <w:spacing w:after="120" w:line="520" w:lineRule="exact"/>
    </w:pPr>
    <w:rPr>
      <w:sz w:val="28"/>
    </w:rPr>
  </w:style>
  <w:style w:type="paragraph" w:styleId="1289" w:customStyle="1">
    <w:name w:val="正文首行缩进 21"/>
    <w:basedOn w:val="1254"/>
    <w:link w:val="1290"/>
    <w:uiPriority w:val="0"/>
    <w:qFormat/>
    <w:pPr>
      <w:ind w:left="420" w:firstLine="420"/>
      <w:spacing w:after="120" w:line="480" w:lineRule="exact"/>
    </w:pPr>
    <w:rPr>
      <w:szCs w:val="20"/>
    </w:rPr>
  </w:style>
  <w:style w:type="character" w:styleId="1290" w:customStyle="1">
    <w:name w:val="正文文本首行缩进 2 字符"/>
    <w:link w:val="1289"/>
    <w:uiPriority w:val="0"/>
    <w:qFormat/>
    <w:rPr>
      <w:rFonts w:eastAsia="宋体"/>
      <w:sz w:val="24"/>
      <w:szCs w:val="24"/>
      <w:lang w:val="en-US" w:eastAsia="zh-CN" w:bidi="ar-SA"/>
    </w:rPr>
  </w:style>
  <w:style w:type="table" w:styleId="1291" w:customStyle="1">
    <w:name w:val="网格型1"/>
    <w:basedOn w:val="1232"/>
    <w:uiPriority w:val="39"/>
    <w:qFormat/>
    <w:tblPr/>
  </w:style>
  <w:style w:type="table" w:styleId="1292" w:customStyle="1">
    <w:name w:val="中等深浅网格 1 - 强调文字颜色 21"/>
    <w:basedOn w:val="1232"/>
    <w:uiPriority w:val="0"/>
    <w:qFormat/>
    <w:rPr>
      <w:sz w:val="21"/>
      <w:szCs w:val="24"/>
    </w:rPr>
    <w:tblPr/>
  </w:style>
  <w:style w:type="character" w:styleId="1293" w:customStyle="1">
    <w:name w:val="要点1"/>
    <w:uiPriority w:val="0"/>
    <w:qFormat/>
    <w:rPr>
      <w:b/>
      <w:bCs/>
    </w:rPr>
  </w:style>
  <w:style w:type="character" w:styleId="1294" w:customStyle="1">
    <w:name w:val="页码1"/>
    <w:uiPriority w:val="0"/>
    <w:qFormat/>
  </w:style>
  <w:style w:type="character" w:styleId="1295" w:customStyle="1">
    <w:name w:val="已访问的超链接1"/>
    <w:uiPriority w:val="0"/>
    <w:qFormat/>
    <w:rPr>
      <w:color w:val="771caa"/>
      <w:u w:val="none"/>
    </w:rPr>
  </w:style>
  <w:style w:type="character" w:styleId="1296" w:customStyle="1">
    <w:name w:val="强调1"/>
    <w:uiPriority w:val="0"/>
    <w:qFormat/>
    <w:rPr>
      <w:color w:val="cc0033"/>
    </w:rPr>
  </w:style>
  <w:style w:type="character" w:styleId="1297" w:customStyle="1">
    <w:name w:val="超链接1"/>
    <w:uiPriority w:val="99"/>
    <w:qFormat/>
    <w:rPr>
      <w:color w:val="2440b3"/>
      <w:u w:val="none"/>
    </w:rPr>
  </w:style>
  <w:style w:type="character" w:styleId="1298" w:customStyle="1">
    <w:name w:val="批注引用1"/>
    <w:uiPriority w:val="99"/>
    <w:qFormat/>
    <w:rPr>
      <w:sz w:val="21"/>
      <w:szCs w:val="21"/>
    </w:rPr>
  </w:style>
  <w:style w:type="character" w:styleId="1299" w:customStyle="1">
    <w:name w:val="HTML 引文1"/>
    <w:uiPriority w:val="0"/>
    <w:qFormat/>
    <w:rPr>
      <w:i/>
      <w:iCs/>
    </w:rPr>
  </w:style>
  <w:style w:type="paragraph" w:styleId="1300" w:customStyle="1">
    <w:name w:val="正文文本1"/>
    <w:basedOn w:val="1032"/>
    <w:next w:val="1032"/>
    <w:uiPriority w:val="0"/>
    <w:qFormat/>
    <w:pPr>
      <w:spacing w:before="120" w:line="22" w:lineRule="atLeast"/>
      <w:tabs>
        <w:tab w:val="left" w:pos="567" w:leader="none"/>
      </w:tabs>
    </w:pPr>
    <w:rPr>
      <w:rFonts w:ascii="宋体" w:hAnsi="宋体"/>
      <w:sz w:val="24"/>
    </w:rPr>
  </w:style>
  <w:style w:type="character" w:styleId="1301" w:customStyle="1">
    <w:name w:val="fontstyle01"/>
    <w:uiPriority w:val="0"/>
    <w:qFormat/>
    <w:rPr>
      <w:sz w:val="21"/>
      <w:szCs w:val="24"/>
      <w:lang w:val="en-US" w:eastAsia="zh-CN" w:bidi="ar-SA"/>
    </w:rPr>
  </w:style>
  <w:style w:type="character" w:styleId="1302" w:customStyle="1">
    <w:name w:val="批注文字 字符"/>
    <w:uiPriority w:val="99"/>
    <w:qFormat/>
    <w:rPr>
      <w:rFonts w:ascii="Times New Roman" w:hAnsi="Times New Roman" w:eastAsia="宋体" w:cs="Times New Roman"/>
      <w:sz w:val="24"/>
      <w:lang w:val="en-US" w:eastAsia="zh-CN" w:bidi="ar-SA"/>
    </w:rPr>
  </w:style>
  <w:style w:type="paragraph" w:styleId="1303" w:customStyle="1">
    <w:name w:val="标题 31"/>
    <w:basedOn w:val="1032"/>
    <w:next w:val="1032"/>
    <w:uiPriority w:val="0"/>
    <w:qFormat/>
    <w:pPr>
      <w:jc w:val="left"/>
      <w:keepLines/>
      <w:keepNext/>
      <w:spacing w:before="360" w:after="120"/>
      <w:outlineLvl w:val="2"/>
    </w:pPr>
    <w:rPr>
      <w:rFonts w:ascii="宋体"/>
      <w:b/>
      <w:sz w:val="24"/>
      <w:szCs w:val="20"/>
      <w:u w:val="single"/>
    </w:rPr>
  </w:style>
  <w:style w:type="character" w:styleId="1304" w:customStyle="1">
    <w:name w:val="c21"/>
    <w:uiPriority w:val="0"/>
    <w:qFormat/>
    <w:rPr>
      <w:rFonts w:ascii="ˎ̥" w:hAnsi="ˎ̥"/>
      <w:color w:val="000000"/>
      <w:sz w:val="20"/>
      <w:szCs w:val="20"/>
      <w:u w:val="none"/>
    </w:rPr>
  </w:style>
  <w:style w:type="character" w:styleId="1305" w:customStyle="1">
    <w:name w:val="title4"/>
    <w:uiPriority w:val="0"/>
    <w:qFormat/>
    <w:rPr>
      <w:b/>
      <w:bCs/>
      <w:color w:val="1d87b3"/>
      <w:sz w:val="15"/>
      <w:szCs w:val="15"/>
    </w:rPr>
  </w:style>
  <w:style w:type="character" w:styleId="1306" w:customStyle="1">
    <w:name w:val="标题 2 Char Char"/>
    <w:uiPriority w:val="0"/>
    <w:qFormat/>
    <w:rPr>
      <w:rFonts w:ascii="Arial" w:hAnsi="Arial" w:eastAsia="黑体"/>
      <w:b/>
      <w:bCs/>
      <w:sz w:val="32"/>
      <w:szCs w:val="32"/>
      <w:lang w:val="en-US" w:eastAsia="zh-CN" w:bidi="ar-SA"/>
    </w:rPr>
  </w:style>
  <w:style w:type="character" w:styleId="1307" w:customStyle="1">
    <w:name w:val="black1"/>
    <w:uiPriority w:val="0"/>
    <w:qFormat/>
    <w:rPr>
      <w:color w:val="000000"/>
    </w:rPr>
  </w:style>
  <w:style w:type="character" w:styleId="1308" w:customStyle="1">
    <w:name w:val="street-address"/>
    <w:uiPriority w:val="0"/>
    <w:qFormat/>
  </w:style>
  <w:style w:type="character" w:styleId="1309" w:customStyle="1">
    <w:name w:val="locality"/>
    <w:uiPriority w:val="0"/>
    <w:qFormat/>
  </w:style>
  <w:style w:type="character" w:styleId="1310" w:customStyle="1">
    <w:name w:val="正文文本缩进 Char1"/>
    <w:link w:val="1311"/>
    <w:uiPriority w:val="0"/>
    <w:qFormat/>
    <w:rPr>
      <w:rFonts w:ascii="宋体" w:hAnsi="宋体" w:eastAsia="宋体"/>
      <w:sz w:val="24"/>
      <w:szCs w:val="24"/>
      <w:lang w:bidi="ar-SA"/>
    </w:rPr>
  </w:style>
  <w:style w:type="paragraph" w:styleId="1311" w:customStyle="1">
    <w:name w:val="正文文本缩进1"/>
    <w:basedOn w:val="1032"/>
    <w:link w:val="1310"/>
    <w:uiPriority w:val="0"/>
    <w:qFormat/>
    <w:pPr>
      <w:ind w:firstLine="480"/>
      <w:spacing w:line="480" w:lineRule="exact"/>
    </w:pPr>
    <w:rPr>
      <w:rFonts w:ascii="宋体" w:hAnsi="宋体"/>
      <w:sz w:val="24"/>
    </w:rPr>
  </w:style>
  <w:style w:type="character" w:styleId="1312" w:customStyle="1">
    <w:name w:val="Char Char11"/>
    <w:uiPriority w:val="0"/>
    <w:qFormat/>
    <w:rPr>
      <w:rFonts w:ascii="宋体" w:eastAsia="宋体"/>
      <w:b/>
      <w:sz w:val="24"/>
      <w:u w:val="single"/>
      <w:lang w:val="en-US" w:eastAsia="zh-CN" w:bidi="ar-SA"/>
    </w:rPr>
  </w:style>
  <w:style w:type="character" w:styleId="1313" w:customStyle="1">
    <w:name w:val="txt"/>
    <w:uiPriority w:val="0"/>
    <w:qFormat/>
  </w:style>
  <w:style w:type="character" w:styleId="1314" w:customStyle="1">
    <w:name w:val="正文缩进 Char Char"/>
    <w:link w:val="1315"/>
    <w:uiPriority w:val="0"/>
    <w:qFormat/>
    <w:rPr>
      <w:rFonts w:ascii="宋体" w:eastAsia="宋体"/>
      <w:color w:val="000000"/>
      <w:sz w:val="28"/>
      <w:lang w:bidi="ar-SA"/>
    </w:rPr>
  </w:style>
  <w:style w:type="paragraph" w:styleId="1315" w:customStyle="1">
    <w:name w:val="正文缩进1"/>
    <w:basedOn w:val="1032"/>
    <w:link w:val="1314"/>
    <w:uiPriority w:val="0"/>
    <w:qFormat/>
    <w:pPr>
      <w:ind w:firstLine="567"/>
      <w:spacing w:line="480" w:lineRule="exact"/>
      <w:widowControl/>
    </w:pPr>
    <w:rPr>
      <w:rFonts w:ascii="宋体"/>
      <w:color w:val="000000"/>
      <w:sz w:val="28"/>
      <w:szCs w:val="20"/>
    </w:rPr>
  </w:style>
  <w:style w:type="character" w:styleId="1316" w:customStyle="1">
    <w:name w:val="普通文字1 Char1"/>
    <w:uiPriority w:val="0"/>
    <w:qFormat/>
    <w:rPr>
      <w:rFonts w:ascii="宋体" w:hAnsi="Courier New" w:eastAsia="宋体"/>
      <w:sz w:val="21"/>
      <w:lang w:val="en-US" w:eastAsia="zh-CN" w:bidi="ar-SA"/>
    </w:rPr>
  </w:style>
  <w:style w:type="character" w:styleId="1317" w:customStyle="1">
    <w:name w:val="chanpin1"/>
    <w:uiPriority w:val="0"/>
    <w:qFormat/>
    <w:rPr>
      <w:rFonts w:ascii="ˎ̥" w:hAnsi="ˎ̥"/>
      <w:color w:val="000000"/>
      <w:sz w:val="20"/>
      <w:szCs w:val="20"/>
      <w:u w:val="none"/>
    </w:rPr>
  </w:style>
  <w:style w:type="character" w:styleId="1318" w:customStyle="1">
    <w:name w:val="列表段落 字符"/>
    <w:link w:val="1319"/>
    <w:uiPriority w:val="34"/>
    <w:qFormat/>
    <w:rPr>
      <w:rFonts w:ascii="Calibri" w:hAnsi="Calibri" w:eastAsia="宋体"/>
      <w:sz w:val="21"/>
      <w:szCs w:val="22"/>
      <w:lang w:val="en-US" w:eastAsia="zh-CN" w:bidi="ar-SA"/>
    </w:rPr>
  </w:style>
  <w:style w:type="paragraph" w:styleId="1319" w:customStyle="1">
    <w:name w:val="列表段落1"/>
    <w:basedOn w:val="1032"/>
    <w:link w:val="1318"/>
    <w:uiPriority w:val="34"/>
    <w:qFormat/>
    <w:pPr>
      <w:ind w:firstLine="420"/>
    </w:pPr>
    <w:rPr>
      <w:rFonts w:ascii="Calibri" w:hAnsi="Calibri"/>
      <w:szCs w:val="22"/>
    </w:rPr>
  </w:style>
  <w:style w:type="character" w:styleId="1320" w:customStyle="1">
    <w:name w:val="标题 3 Char Char"/>
    <w:uiPriority w:val="0"/>
    <w:qFormat/>
    <w:rPr>
      <w:rFonts w:eastAsia="宋体"/>
      <w:b/>
      <w:bCs/>
      <w:sz w:val="32"/>
      <w:szCs w:val="32"/>
      <w:lang w:val="en-US" w:eastAsia="zh-CN" w:bidi="ar-SA"/>
    </w:rPr>
  </w:style>
  <w:style w:type="character" w:styleId="1321" w:customStyle="1">
    <w:name w:val="段1 Char"/>
    <w:uiPriority w:val="0"/>
    <w:qFormat/>
    <w:rPr>
      <w:rFonts w:ascii="宋体" w:eastAsia="宋体"/>
      <w:sz w:val="24"/>
      <w:lang w:val="en-US" w:eastAsia="zh-CN" w:bidi="ar-SA"/>
    </w:rPr>
  </w:style>
  <w:style w:type="character" w:styleId="1322" w:customStyle="1">
    <w:name w:val="chanpin拷贝"/>
    <w:uiPriority w:val="0"/>
    <w:qFormat/>
  </w:style>
  <w:style w:type="character" w:styleId="1323" w:customStyle="1">
    <w:name w:val="纯文本 Char1"/>
    <w:uiPriority w:val="0"/>
    <w:qFormat/>
    <w:rPr>
      <w:rFonts w:ascii="宋体" w:hAnsi="Courier New" w:eastAsia="宋体"/>
      <w:sz w:val="21"/>
      <w:lang w:val="en-US" w:eastAsia="zh-CN" w:bidi="ar-SA"/>
    </w:rPr>
  </w:style>
  <w:style w:type="character" w:styleId="1324" w:customStyle="1">
    <w:name w:val="apple-style-span"/>
    <w:uiPriority w:val="0"/>
    <w:qFormat/>
    <w:rPr>
      <w:rFonts w:cs="Times New Roman"/>
    </w:rPr>
  </w:style>
  <w:style w:type="paragraph" w:styleId="1325" w:customStyle="1">
    <w:name w:val="二级条标题"/>
    <w:basedOn w:val="1326"/>
    <w:next w:val="103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26" w:customStyle="1">
    <w:name w:val="一级条标题"/>
    <w:basedOn w:val="1327"/>
    <w:next w:val="1032"/>
    <w:uiPriority w:val="0"/>
    <w:qFormat/>
    <w:pPr>
      <w:numPr>
        <w:ilvl w:val="1"/>
      </w:numPr>
      <w:ind w:left="0" w:hanging="840"/>
      <w:tabs>
        <w:tab w:val="left" w:pos="360" w:leader="none"/>
        <w:tab w:val="left" w:pos="840" w:leader="none"/>
      </w:tabs>
      <w:outlineLvl w:val="1"/>
    </w:pPr>
  </w:style>
  <w:style w:type="paragraph" w:styleId="1327" w:customStyle="1">
    <w:name w:val="章标题"/>
    <w:next w:val="1032"/>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28" w:customStyle="1">
    <w:name w:val="font7"/>
    <w:basedOn w:val="1032"/>
    <w:uiPriority w:val="0"/>
    <w:qFormat/>
    <w:pPr>
      <w:jc w:val="left"/>
      <w:spacing w:before="100" w:beforeAutospacing="1" w:after="100" w:afterAutospacing="1"/>
      <w:widowControl/>
    </w:pPr>
    <w:rPr>
      <w:rFonts w:eastAsia="Arial Unicode MS"/>
      <w:b/>
      <w:bCs/>
      <w:color w:val="000000"/>
      <w:sz w:val="20"/>
      <w:szCs w:val="20"/>
    </w:rPr>
  </w:style>
  <w:style w:type="paragraph" w:styleId="1329" w:customStyle="1">
    <w:name w:val="字元 字元"/>
    <w:basedOn w:val="1032"/>
    <w:uiPriority w:val="0"/>
    <w:qFormat/>
    <w:rPr>
      <w:rFonts w:ascii="Tahoma" w:hAnsi="Tahoma"/>
      <w:sz w:val="24"/>
      <w:szCs w:val="20"/>
    </w:rPr>
  </w:style>
  <w:style w:type="paragraph" w:styleId="1330" w:customStyle="1">
    <w:name w:val="Char3 Char Char Char"/>
    <w:basedOn w:val="1032"/>
    <w:uiPriority w:val="0"/>
    <w:qFormat/>
    <w:rPr>
      <w:rFonts w:ascii="Tahoma" w:hAnsi="Tahoma"/>
      <w:sz w:val="24"/>
      <w:szCs w:val="20"/>
    </w:rPr>
  </w:style>
  <w:style w:type="paragraph" w:styleId="1331" w:customStyle="1">
    <w:name w:val="font6"/>
    <w:basedOn w:val="1032"/>
    <w:uiPriority w:val="0"/>
    <w:qFormat/>
    <w:pPr>
      <w:jc w:val="left"/>
      <w:spacing w:before="100" w:beforeAutospacing="1" w:after="100" w:afterAutospacing="1"/>
      <w:widowControl/>
    </w:pPr>
    <w:rPr>
      <w:rFonts w:ascii="宋体" w:hAnsi="宋体" w:cs="宋体"/>
      <w:sz w:val="20"/>
      <w:szCs w:val="20"/>
    </w:rPr>
  </w:style>
  <w:style w:type="paragraph" w:styleId="1332" w:customStyle="1">
    <w:name w:val="项目编号2"/>
    <w:basedOn w:val="1333"/>
    <w:uiPriority w:val="0"/>
    <w:qFormat/>
    <w:pPr>
      <w:numPr>
        <w:numId w:val="2"/>
      </w:numPr>
    </w:pPr>
  </w:style>
  <w:style w:type="paragraph" w:styleId="1333" w:customStyle="1">
    <w:name w:val="项目编号1"/>
    <w:basedOn w:val="1032"/>
    <w:uiPriority w:val="0"/>
    <w:qFormat/>
    <w:pPr>
      <w:numPr>
        <w:ilvl w:val="0"/>
        <w:numId w:val="3"/>
      </w:numPr>
      <w:spacing w:before="100" w:beforeAutospacing="1" w:after="100" w:afterAutospacing="1" w:line="360" w:lineRule="auto"/>
    </w:pPr>
    <w:rPr>
      <w:sz w:val="24"/>
    </w:rPr>
  </w:style>
  <w:style w:type="paragraph" w:styleId="1334" w:customStyle="1">
    <w:name w:val="图中文字"/>
    <w:basedOn w:val="1032"/>
    <w:uiPriority w:val="0"/>
    <w:qFormat/>
    <w:pPr>
      <w:jc w:val="center"/>
      <w:spacing w:line="0" w:lineRule="atLeast"/>
    </w:pPr>
    <w:rPr>
      <w:sz w:val="24"/>
      <w:szCs w:val="20"/>
    </w:rPr>
  </w:style>
  <w:style w:type="paragraph" w:styleId="1335" w:customStyle="1">
    <w:name w:val="xl46"/>
    <w:basedOn w:val="103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6" w:customStyle="1">
    <w:name w:val="xl25"/>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7" w:customStyle="1">
    <w:name w:val="Char2"/>
    <w:basedOn w:val="1032"/>
    <w:uiPriority w:val="0"/>
    <w:qFormat/>
    <w:rPr>
      <w:rFonts w:ascii="Tahoma" w:hAnsi="Tahoma"/>
      <w:sz w:val="24"/>
      <w:szCs w:val="20"/>
    </w:rPr>
  </w:style>
  <w:style w:type="paragraph" w:styleId="1338" w:customStyle="1">
    <w:name w:val="xl35"/>
    <w:basedOn w:val="10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9" w:customStyle="1">
    <w:name w:val="xl40"/>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0" w:customStyle="1">
    <w:name w:val="xl52"/>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1" w:customStyle="1">
    <w:name w:val="xl43"/>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2" w:customStyle="1">
    <w:name w:val="background1"/>
    <w:basedOn w:val="1032"/>
    <w:uiPriority w:val="0"/>
    <w:qFormat/>
    <w:pPr>
      <w:jc w:val="left"/>
      <w:spacing w:before="100" w:beforeAutospacing="1" w:after="100" w:afterAutospacing="1"/>
      <w:widowControl/>
    </w:pPr>
    <w:rPr>
      <w:rFonts w:ascii="宋体" w:hAnsi="宋体" w:cs="宋体"/>
      <w:sz w:val="24"/>
    </w:rPr>
  </w:style>
  <w:style w:type="paragraph" w:styleId="1343" w:customStyle="1">
    <w:name w:val="Char Char Char Char Char Char Char"/>
    <w:basedOn w:val="1032"/>
    <w:uiPriority w:val="0"/>
    <w:qFormat/>
    <w:pPr>
      <w:ind w:firstLine="200"/>
      <w:spacing w:line="360" w:lineRule="auto"/>
    </w:pPr>
    <w:rPr>
      <w:rFonts w:eastAsia="仿宋_GB2312"/>
      <w:sz w:val="24"/>
    </w:rPr>
  </w:style>
  <w:style w:type="paragraph" w:styleId="1344" w:customStyle="1">
    <w:name w:val="xl38"/>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5" w:customStyle="1">
    <w:name w:val="xl36"/>
    <w:basedOn w:val="103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6" w:customStyle="1">
    <w:name w:val="正文 + 宋体"/>
    <w:basedOn w:val="1032"/>
    <w:uiPriority w:val="0"/>
    <w:qFormat/>
    <w:pPr>
      <w:ind w:left="360" w:hanging="360"/>
      <w:jc w:val="left"/>
      <w:widowControl/>
    </w:pPr>
    <w:rPr>
      <w:rFonts w:ascii="宋体" w:hAnsi="宋体" w:cs="宋体"/>
      <w:b/>
      <w:bCs/>
      <w:color w:val="000000"/>
      <w:sz w:val="18"/>
      <w:szCs w:val="18"/>
    </w:rPr>
  </w:style>
  <w:style w:type="paragraph" w:styleId="1347" w:customStyle="1">
    <w:name w:val="正文列项_数字"/>
    <w:basedOn w:val="103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48" w:customStyle="1">
    <w:name w:val="xl39"/>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9" w:customStyle="1">
    <w:name w:val="xl37"/>
    <w:basedOn w:val="103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0" w:customStyle="1">
    <w:name w:val="xl32"/>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1" w:customStyle="1">
    <w:name w:val="font8"/>
    <w:basedOn w:val="1032"/>
    <w:uiPriority w:val="0"/>
    <w:qFormat/>
    <w:pPr>
      <w:jc w:val="left"/>
      <w:spacing w:before="100" w:beforeAutospacing="1" w:after="100" w:afterAutospacing="1"/>
      <w:widowControl/>
    </w:pPr>
    <w:rPr>
      <w:sz w:val="36"/>
      <w:szCs w:val="36"/>
    </w:rPr>
  </w:style>
  <w:style w:type="paragraph" w:styleId="1352" w:customStyle="1">
    <w:name w:val="Char"/>
    <w:basedOn w:val="1032"/>
    <w:uiPriority w:val="0"/>
    <w:qFormat/>
    <w:pPr>
      <w:tabs>
        <w:tab w:val="left" w:pos="360" w:leader="none"/>
      </w:tabs>
    </w:pPr>
    <w:rPr>
      <w:sz w:val="24"/>
    </w:rPr>
  </w:style>
  <w:style w:type="paragraph" w:styleId="1353" w:customStyle="1">
    <w:name w:val="Char Char Char Char Char Char Char Char Char Char Char Char Char Char Char Char"/>
    <w:basedOn w:val="1032"/>
    <w:uiPriority w:val="0"/>
    <w:qFormat/>
    <w:pPr>
      <w:jc w:val="center"/>
      <w:spacing w:after="160" w:line="240" w:lineRule="exact"/>
      <w:widowControl/>
    </w:pPr>
    <w:rPr>
      <w:rFonts w:ascii="宋体" w:hAnsi="宋体"/>
      <w:b/>
      <w:sz w:val="30"/>
      <w:szCs w:val="30"/>
      <w:lang w:eastAsia="en-US"/>
    </w:rPr>
  </w:style>
  <w:style w:type="paragraph" w:styleId="1354" w:customStyle="1">
    <w:name w:val="xl45"/>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5" w:customStyle="1">
    <w:name w:val="Char Char1 Char Char Char Char Char Char"/>
    <w:basedOn w:val="1032"/>
    <w:uiPriority w:val="0"/>
    <w:qFormat/>
    <w:pPr>
      <w:jc w:val="left"/>
      <w:spacing w:after="160" w:line="240" w:lineRule="exact"/>
      <w:widowControl/>
    </w:pPr>
    <w:rPr>
      <w:rFonts w:ascii="Verdana" w:hAnsi="Verdana" w:eastAsia="仿宋_GB2312"/>
      <w:sz w:val="24"/>
      <w:szCs w:val="20"/>
      <w:lang w:eastAsia="en-US"/>
    </w:rPr>
  </w:style>
  <w:style w:type="paragraph" w:styleId="1356" w:customStyle="1">
    <w:name w:val="Char Char1"/>
    <w:basedOn w:val="1246"/>
    <w:uiPriority w:val="0"/>
    <w:qFormat/>
    <w:rPr>
      <w:rFonts w:ascii="Tahoma" w:hAnsi="Tahoma"/>
      <w:sz w:val="24"/>
    </w:rPr>
  </w:style>
  <w:style w:type="paragraph" w:styleId="1357" w:customStyle="1">
    <w:name w:val="xl26"/>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8" w:customStyle="1">
    <w:name w:val="xl30"/>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9" w:customStyle="1">
    <w:name w:val="xl41"/>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0" w:customStyle="1">
    <w:name w:val="样式 宋体 五号 行距: 单倍行距"/>
    <w:basedOn w:val="1032"/>
    <w:uiPriority w:val="0"/>
    <w:qFormat/>
    <w:pPr>
      <w:jc w:val="left"/>
    </w:pPr>
    <w:rPr>
      <w:rFonts w:ascii="宋体" w:hAnsi="宋体"/>
      <w:szCs w:val="20"/>
    </w:rPr>
  </w:style>
  <w:style w:type="paragraph" w:styleId="1361" w:customStyle="1">
    <w:name w:val="Char1 Char Char Char1"/>
    <w:basedOn w:val="1032"/>
    <w:uiPriority w:val="0"/>
    <w:qFormat/>
    <w:rPr>
      <w:rFonts w:ascii="Tahoma" w:hAnsi="Tahoma" w:cs="仿宋_GB2312"/>
      <w:sz w:val="24"/>
      <w:szCs w:val="28"/>
    </w:rPr>
  </w:style>
  <w:style w:type="paragraph" w:styleId="1362" w:customStyle="1">
    <w:name w:val="四级条标题"/>
    <w:basedOn w:val="1363"/>
    <w:next w:val="1032"/>
    <w:uiPriority w:val="0"/>
    <w:qFormat/>
    <w:pPr>
      <w:numPr>
        <w:ilvl w:val="4"/>
      </w:numPr>
      <w:ind w:left="0" w:hanging="840"/>
      <w:tabs>
        <w:tab w:val="left" w:pos="360" w:leader="none"/>
        <w:tab w:val="left" w:pos="840" w:leader="none"/>
      </w:tabs>
      <w:outlineLvl w:val="4"/>
    </w:pPr>
  </w:style>
  <w:style w:type="paragraph" w:styleId="1363" w:customStyle="1">
    <w:name w:val="三级条标题"/>
    <w:basedOn w:val="1325"/>
    <w:next w:val="1032"/>
    <w:uiPriority w:val="0"/>
    <w:qFormat/>
    <w:pPr>
      <w:numPr>
        <w:ilvl w:val="3"/>
        <w:numId w:val="1"/>
      </w:numPr>
      <w:ind w:left="0" w:hanging="840"/>
      <w:outlineLvl w:val="3"/>
    </w:pPr>
  </w:style>
  <w:style w:type="paragraph" w:styleId="136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65" w:customStyle="1">
    <w:name w:val="样式 标题 2 + 宋体 五号 行距: 单倍行距"/>
    <w:basedOn w:val="1223"/>
    <w:uiPriority w:val="0"/>
    <w:qFormat/>
    <w:pPr>
      <w:numPr>
        <w:ilvl w:val="1"/>
        <w:numId w:val="4"/>
      </w:numPr>
      <w:jc w:val="left"/>
      <w:spacing w:before="260" w:after="260" w:line="240" w:lineRule="auto"/>
    </w:pPr>
    <w:rPr>
      <w:rFonts w:ascii="宋体" w:hAnsi="宋体" w:eastAsia="宋体"/>
      <w:bCs/>
      <w:sz w:val="21"/>
    </w:rPr>
  </w:style>
  <w:style w:type="paragraph" w:styleId="1366" w:customStyle="1">
    <w:name w:val="List Paragraph1"/>
    <w:basedOn w:val="1032"/>
    <w:uiPriority w:val="0"/>
    <w:qFormat/>
    <w:pPr>
      <w:ind w:firstLine="420"/>
    </w:pPr>
    <w:rPr>
      <w:rFonts w:ascii="Calibri" w:hAnsi="Calibri"/>
      <w:szCs w:val="22"/>
    </w:rPr>
  </w:style>
  <w:style w:type="paragraph" w:styleId="1367" w:customStyle="1">
    <w:name w:val="项目符号1"/>
    <w:basedOn w:val="1368"/>
    <w:uiPriority w:val="0"/>
    <w:qFormat/>
    <w:pPr>
      <w:ind w:left="-25" w:firstLine="0"/>
    </w:pPr>
  </w:style>
  <w:style w:type="paragraph" w:styleId="1368" w:customStyle="1">
    <w:name w:val="正文文本样式"/>
    <w:basedOn w:val="1032"/>
    <w:uiPriority w:val="0"/>
    <w:qFormat/>
    <w:pPr>
      <w:ind w:firstLine="482"/>
      <w:spacing w:line="360" w:lineRule="auto"/>
    </w:pPr>
    <w:rPr>
      <w:rFonts w:cs="宋体"/>
      <w:sz w:val="24"/>
      <w:szCs w:val="20"/>
    </w:rPr>
  </w:style>
  <w:style w:type="paragraph" w:styleId="1369" w:customStyle="1">
    <w:name w:val="xl27"/>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0" w:customStyle="1">
    <w:name w:val="font5"/>
    <w:basedOn w:val="1032"/>
    <w:uiPriority w:val="0"/>
    <w:qFormat/>
    <w:pPr>
      <w:jc w:val="left"/>
      <w:spacing w:before="100" w:beforeAutospacing="1" w:after="100" w:afterAutospacing="1"/>
      <w:widowControl/>
    </w:pPr>
    <w:rPr>
      <w:rFonts w:ascii="宋体" w:hAnsi="宋体" w:cs="宋体"/>
      <w:sz w:val="18"/>
      <w:szCs w:val="18"/>
    </w:rPr>
  </w:style>
  <w:style w:type="paragraph" w:styleId="1371" w:customStyle="1">
    <w:name w:val="五级条标题"/>
    <w:basedOn w:val="1362"/>
    <w:next w:val="1032"/>
    <w:uiPriority w:val="0"/>
    <w:qFormat/>
    <w:pPr>
      <w:numPr>
        <w:ilvl w:val="5"/>
      </w:numPr>
      <w:ind w:left="0" w:hanging="840"/>
      <w:outlineLvl w:val="5"/>
    </w:pPr>
  </w:style>
  <w:style w:type="paragraph" w:styleId="1372" w:customStyle="1">
    <w:name w:val="xl49"/>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3" w:customStyle="1">
    <w:name w:val="文档正文"/>
    <w:basedOn w:val="1032"/>
    <w:uiPriority w:val="0"/>
    <w:qFormat/>
    <w:pPr>
      <w:spacing w:before="120" w:after="120" w:line="180" w:lineRule="auto"/>
    </w:pPr>
    <w:rPr>
      <w:rFonts w:ascii="Arial" w:hAnsi="Arial"/>
      <w:szCs w:val="20"/>
    </w:rPr>
  </w:style>
  <w:style w:type="paragraph" w:styleId="1374" w:customStyle="1">
    <w:name w:val="xl33"/>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5" w:customStyle="1">
    <w:name w:val="xl42"/>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6" w:customStyle="1">
    <w:name w:val="Char Char Char1 Char"/>
    <w:basedOn w:val="1032"/>
    <w:uiPriority w:val="0"/>
    <w:qFormat/>
    <w:rPr>
      <w:rFonts w:ascii="Tahoma" w:hAnsi="Tahoma"/>
      <w:sz w:val="24"/>
      <w:szCs w:val="20"/>
    </w:rPr>
  </w:style>
  <w:style w:type="paragraph" w:styleId="1377" w:customStyle="1">
    <w:name w:val="xl44"/>
    <w:basedOn w:val="10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8" w:customStyle="1">
    <w:name w:val="1名"/>
    <w:basedOn w:val="1032"/>
    <w:uiPriority w:val="0"/>
    <w:qFormat/>
    <w:pPr>
      <w:numPr>
        <w:ilvl w:val="0"/>
        <w:numId w:val="5"/>
      </w:numPr>
      <w:spacing w:before="120"/>
    </w:pPr>
    <w:rPr>
      <w:rFonts w:ascii="宋体"/>
      <w:sz w:val="28"/>
      <w:szCs w:val="20"/>
    </w:rPr>
  </w:style>
  <w:style w:type="paragraph" w:styleId="1379" w:customStyle="1">
    <w:name w:val="font9"/>
    <w:basedOn w:val="103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80" w:customStyle="1">
    <w:name w:val="Char Char Char1 Char1"/>
    <w:basedOn w:val="1032"/>
    <w:uiPriority w:val="0"/>
    <w:qFormat/>
    <w:rPr>
      <w:rFonts w:ascii="Tahoma" w:hAnsi="Tahoma"/>
      <w:sz w:val="24"/>
      <w:szCs w:val="20"/>
    </w:rPr>
  </w:style>
  <w:style w:type="paragraph" w:styleId="1381" w:customStyle="1">
    <w:name w:val="Char Char Char Char Char Char Char Char Char Char"/>
    <w:basedOn w:val="1032"/>
    <w:uiPriority w:val="0"/>
    <w:qFormat/>
  </w:style>
  <w:style w:type="paragraph" w:styleId="1382" w:customStyle="1">
    <w:name w:val="Char Char1 Char Char Char Char Char Char Char Char"/>
    <w:basedOn w:val="1032"/>
    <w:uiPriority w:val="0"/>
    <w:qFormat/>
    <w:pPr>
      <w:jc w:val="left"/>
      <w:spacing w:after="160" w:line="240" w:lineRule="exact"/>
      <w:widowControl/>
    </w:pPr>
    <w:rPr>
      <w:rFonts w:ascii="Verdana" w:hAnsi="Verdana"/>
      <w:sz w:val="20"/>
      <w:szCs w:val="20"/>
      <w:lang w:eastAsia="en-US"/>
    </w:rPr>
  </w:style>
  <w:style w:type="paragraph" w:styleId="1383" w:customStyle="1">
    <w:name w:val="Char1"/>
    <w:basedOn w:val="1032"/>
    <w:uiPriority w:val="0"/>
    <w:qFormat/>
    <w:pPr>
      <w:tabs>
        <w:tab w:val="left" w:pos="360" w:leader="none"/>
      </w:tabs>
    </w:pPr>
    <w:rPr>
      <w:sz w:val="24"/>
    </w:rPr>
  </w:style>
  <w:style w:type="paragraph" w:styleId="1384" w:customStyle="1">
    <w:name w:val="正文列项_字母"/>
    <w:basedOn w:val="103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85" w:customStyle="1">
    <w:name w:val="xl28"/>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6" w:customStyle="1">
    <w:name w:val="xl47"/>
    <w:basedOn w:val="103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7" w:customStyle="1">
    <w:name w:val="默认段落字体 Para Char Char Char Char"/>
    <w:basedOn w:val="1032"/>
    <w:uiPriority w:val="0"/>
    <w:qFormat/>
    <w:rPr>
      <w:rFonts w:ascii="Arial" w:hAnsi="Arial" w:cs="Arial"/>
      <w:szCs w:val="21"/>
    </w:rPr>
  </w:style>
  <w:style w:type="paragraph" w:styleId="1388" w:customStyle="1">
    <w:name w:val="xl48"/>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9" w:customStyle="1">
    <w:name w:val="xl31"/>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0" w:customStyle="1">
    <w:name w:val="xl53"/>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1" w:customStyle="1">
    <w:name w:val="Char Char Char"/>
    <w:basedOn w:val="1032"/>
    <w:uiPriority w:val="0"/>
    <w:qFormat/>
    <w:rPr>
      <w:rFonts w:ascii="Tahoma" w:hAnsi="Tahoma"/>
      <w:sz w:val="24"/>
      <w:szCs w:val="20"/>
    </w:rPr>
  </w:style>
  <w:style w:type="paragraph" w:styleId="1392" w:customStyle="1">
    <w:name w:val="xl50"/>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3" w:customStyle="1">
    <w:name w:val="缺省文本"/>
    <w:basedOn w:val="1032"/>
    <w:uiPriority w:val="0"/>
    <w:qFormat/>
    <w:pPr>
      <w:jc w:val="left"/>
    </w:pPr>
    <w:rPr>
      <w:sz w:val="24"/>
    </w:rPr>
  </w:style>
  <w:style w:type="paragraph" w:styleId="1394" w:customStyle="1">
    <w:name w:val="Char Char Char1"/>
    <w:basedOn w:val="1032"/>
    <w:uiPriority w:val="0"/>
    <w:qFormat/>
    <w:rPr>
      <w:rFonts w:ascii="Tahoma" w:hAnsi="Tahoma"/>
      <w:sz w:val="24"/>
      <w:szCs w:val="20"/>
    </w:rPr>
  </w:style>
  <w:style w:type="paragraph" w:styleId="1395" w:customStyle="1">
    <w:name w:val="Char Char Char Char Char Char Char1"/>
    <w:basedOn w:val="1032"/>
    <w:uiPriority w:val="0"/>
    <w:qFormat/>
    <w:pPr>
      <w:ind w:firstLine="200"/>
      <w:spacing w:line="360" w:lineRule="auto"/>
    </w:pPr>
    <w:rPr>
      <w:rFonts w:eastAsia="仿宋_GB2312"/>
      <w:sz w:val="24"/>
    </w:rPr>
  </w:style>
  <w:style w:type="paragraph" w:styleId="1396" w:customStyle="1">
    <w:name w:val="xl51"/>
    <w:basedOn w:val="103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7" w:customStyle="1">
    <w:name w:val="样式2"/>
    <w:basedOn w:val="1283"/>
    <w:uiPriority w:val="0"/>
    <w:qFormat/>
    <w:pPr>
      <w:jc w:val="center"/>
      <w:spacing w:line="360" w:lineRule="auto"/>
    </w:pPr>
    <w:rPr>
      <w:sz w:val="24"/>
    </w:rPr>
  </w:style>
  <w:style w:type="paragraph" w:styleId="1398" w:customStyle="1">
    <w:name w:val="xl24"/>
    <w:basedOn w:val="10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9" w:customStyle="1">
    <w:name w:val="xl29"/>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00" w:customStyle="1">
    <w:name w:val="正文 + 楷体_GB2312"/>
    <w:basedOn w:val="1032"/>
    <w:uiPriority w:val="0"/>
    <w:qFormat/>
    <w:pPr>
      <w:jc w:val="left"/>
      <w:widowControl/>
    </w:pPr>
    <w:rPr>
      <w:rFonts w:ascii="楷体_GB2312" w:eastAsia="楷体_GB2312" w:cs="Arial"/>
      <w:sz w:val="24"/>
    </w:rPr>
  </w:style>
  <w:style w:type="paragraph" w:styleId="1401" w:customStyle="1">
    <w:name w:val="xl34"/>
    <w:basedOn w:val="10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2" w:customStyle="1">
    <w:name w:val="1 Char Char Char Char"/>
    <w:basedOn w:val="1032"/>
    <w:uiPriority w:val="0"/>
    <w:qFormat/>
    <w:rPr>
      <w:rFonts w:ascii="Tahoma" w:hAnsi="Tahoma"/>
      <w:sz w:val="24"/>
      <w:szCs w:val="20"/>
    </w:rPr>
  </w:style>
  <w:style w:type="paragraph" w:styleId="1403" w:customStyle="1">
    <w:name w:val="列出段落1"/>
    <w:basedOn w:val="1032"/>
    <w:uiPriority w:val="0"/>
    <w:qFormat/>
    <w:pPr>
      <w:ind w:firstLine="420"/>
    </w:pPr>
    <w:rPr>
      <w:rFonts w:ascii="Calibri" w:hAnsi="Calibri"/>
      <w:szCs w:val="22"/>
    </w:rPr>
  </w:style>
  <w:style w:type="paragraph" w:styleId="1404" w:customStyle="1">
    <w:name w:val="default"/>
    <w:basedOn w:val="1032"/>
    <w:uiPriority w:val="0"/>
    <w:qFormat/>
    <w:pPr>
      <w:jc w:val="left"/>
      <w:spacing w:before="100" w:beforeAutospacing="1" w:after="100" w:afterAutospacing="1"/>
      <w:widowControl/>
    </w:pPr>
    <w:rPr>
      <w:rFonts w:ascii="宋体" w:hAnsi="宋体" w:cs="宋体"/>
      <w:sz w:val="24"/>
    </w:rPr>
  </w:style>
  <w:style w:type="paragraph" w:styleId="1405" w:customStyle="1">
    <w:name w:val="字元 字元1"/>
    <w:basedOn w:val="1032"/>
    <w:uiPriority w:val="0"/>
    <w:qFormat/>
    <w:rPr>
      <w:rFonts w:ascii="Tahoma" w:hAnsi="Tahoma"/>
      <w:sz w:val="24"/>
      <w:szCs w:val="20"/>
    </w:rPr>
  </w:style>
  <w:style w:type="paragraph" w:styleId="1406" w:customStyle="1">
    <w:name w:val="_Style 160"/>
    <w:uiPriority w:val="0"/>
    <w:qFormat/>
    <w:rPr>
      <w:rFonts w:ascii="Times New Roman" w:hAnsi="Times New Roman" w:eastAsia="宋体" w:cs="Times New Roman"/>
      <w:sz w:val="21"/>
      <w:szCs w:val="24"/>
      <w:lang w:val="en-US" w:eastAsia="zh-CN" w:bidi="ar-SA"/>
    </w:rPr>
  </w:style>
  <w:style w:type="paragraph" w:styleId="1407" w:customStyle="1">
    <w:name w:val="项目编号3"/>
    <w:basedOn w:val="1368"/>
    <w:uiPriority w:val="0"/>
    <w:qFormat/>
    <w:pPr>
      <w:numPr>
        <w:ilvl w:val="0"/>
        <w:numId w:val="6"/>
      </w:numPr>
    </w:pPr>
  </w:style>
  <w:style w:type="paragraph" w:styleId="1408" w:customStyle="1">
    <w:name w:val="Char21"/>
    <w:basedOn w:val="1032"/>
    <w:uiPriority w:val="0"/>
    <w:qFormat/>
    <w:rPr>
      <w:rFonts w:ascii="Tahoma" w:hAnsi="Tahoma"/>
      <w:sz w:val="24"/>
      <w:szCs w:val="20"/>
    </w:rPr>
  </w:style>
  <w:style w:type="paragraph" w:styleId="1409" w:customStyle="1">
    <w:name w:val="表格文字"/>
    <w:basedOn w:val="1254"/>
    <w:uiPriority w:val="0"/>
    <w:qFormat/>
    <w:pPr>
      <w:ind w:firstLine="0"/>
      <w:spacing w:before="20" w:after="20" w:line="240" w:lineRule="auto"/>
    </w:pPr>
    <w:rPr>
      <w:rFonts w:ascii="Century Gothic" w:hAnsi="Century Gothic"/>
      <w:sz w:val="20"/>
      <w:szCs w:val="20"/>
    </w:rPr>
  </w:style>
  <w:style w:type="paragraph" w:styleId="1410" w:customStyle="1">
    <w:name w:val="Char Char Char Char Char Char Char Char Char Char1"/>
    <w:basedOn w:val="1032"/>
    <w:uiPriority w:val="0"/>
    <w:qFormat/>
    <w:rPr>
      <w:rFonts w:ascii="宋体" w:hAnsi="宋体" w:cs="Courier New"/>
      <w:sz w:val="32"/>
      <w:szCs w:val="32"/>
    </w:rPr>
  </w:style>
  <w:style w:type="paragraph" w:styleId="1411" w:customStyle="1">
    <w:name w:val="正文文本样式 加粗"/>
    <w:basedOn w:val="1368"/>
    <w:uiPriority w:val="0"/>
    <w:qFormat/>
    <w:rPr>
      <w:b/>
    </w:rPr>
  </w:style>
  <w:style w:type="paragraph" w:styleId="1412" w:customStyle="1">
    <w:name w:val="Char2 Char Char Char Char Char Char"/>
    <w:basedOn w:val="1032"/>
    <w:uiPriority w:val="0"/>
    <w:qFormat/>
    <w:pPr>
      <w:jc w:val="center"/>
      <w:spacing w:line="400" w:lineRule="exact"/>
      <w:widowControl/>
    </w:pPr>
  </w:style>
  <w:style w:type="paragraph" w:styleId="1413" w:customStyle="1">
    <w:name w:val="Char Char4"/>
    <w:basedOn w:val="1032"/>
    <w:uiPriority w:val="0"/>
    <w:qFormat/>
    <w:pPr>
      <w:jc w:val="center"/>
      <w:spacing w:line="400" w:lineRule="exact"/>
      <w:widowControl/>
    </w:pPr>
  </w:style>
  <w:style w:type="paragraph" w:styleId="1414" w:customStyle="1">
    <w:name w:val="Char3 Char Char Char1"/>
    <w:basedOn w:val="1032"/>
    <w:uiPriority w:val="0"/>
    <w:qFormat/>
    <w:rPr>
      <w:rFonts w:ascii="Tahoma" w:hAnsi="Tahoma"/>
      <w:sz w:val="24"/>
      <w:szCs w:val="20"/>
    </w:rPr>
  </w:style>
  <w:style w:type="paragraph" w:styleId="141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416" w:customStyle="1">
    <w:name w:val="22222222222222"/>
    <w:basedOn w:val="1032"/>
    <w:uiPriority w:val="0"/>
    <w:qFormat/>
    <w:pPr>
      <w:ind w:firstLine="480"/>
      <w:jc w:val="left"/>
      <w:spacing w:line="360" w:lineRule="auto"/>
      <w:widowControl/>
    </w:pPr>
    <w:rPr>
      <w:color w:val="ff0000"/>
      <w:sz w:val="24"/>
      <w:szCs w:val="20"/>
    </w:rPr>
  </w:style>
  <w:style w:type="character" w:styleId="1417" w:customStyle="1">
    <w:name w:val="中等深浅网格 1 - 强调文字颜色 2 Char"/>
    <w:link w:val="1418"/>
    <w:uiPriority w:val="0"/>
    <w:qFormat/>
    <w:rPr>
      <w:sz w:val="21"/>
      <w:szCs w:val="24"/>
      <w:lang w:val="zh-CN" w:eastAsia="zh-CN" w:bidi="ar-SA"/>
    </w:rPr>
  </w:style>
  <w:style w:type="paragraph" w:styleId="1418" w:customStyle="1">
    <w:name w:val="1"/>
    <w:link w:val="1417"/>
    <w:uiPriority w:val="0"/>
    <w:qFormat/>
    <w:rPr>
      <w:rFonts w:ascii="Times New Roman" w:hAnsi="Times New Roman" w:eastAsia="宋体" w:cs="Times New Roman"/>
      <w:sz w:val="21"/>
      <w:szCs w:val="24"/>
      <w:lang w:val="zh-CN" w:eastAsia="zh-CN" w:bidi="ar-SA"/>
    </w:rPr>
  </w:style>
  <w:style w:type="paragraph" w:styleId="1419" w:customStyle="1">
    <w:name w:val="图文"/>
    <w:basedOn w:val="1032"/>
    <w:uiPriority w:val="0"/>
    <w:qFormat/>
    <w:pPr>
      <w:spacing w:after="50" w:line="360" w:lineRule="auto"/>
    </w:pPr>
    <w:rPr>
      <w:sz w:val="24"/>
    </w:rPr>
  </w:style>
  <w:style w:type="paragraph" w:styleId="1420" w:customStyle="1">
    <w:name w:val="xl23"/>
    <w:basedOn w:val="1032"/>
    <w:uiPriority w:val="0"/>
    <w:qFormat/>
    <w:pPr>
      <w:spacing w:before="100" w:beforeAutospacing="1" w:after="100" w:afterAutospacing="1" w:line="360" w:lineRule="auto"/>
      <w:widowControl/>
    </w:pPr>
    <w:rPr>
      <w:sz w:val="24"/>
      <w:szCs w:val="20"/>
    </w:rPr>
  </w:style>
  <w:style w:type="paragraph" w:styleId="1421" w:customStyle="1">
    <w:name w:val="正文表格"/>
    <w:basedOn w:val="1032"/>
    <w:link w:val="1422"/>
    <w:uiPriority w:val="0"/>
    <w:qFormat/>
    <w:pPr>
      <w:jc w:val="left"/>
    </w:pPr>
    <w:rPr>
      <w:rFonts w:ascii="宋体" w:hAnsi="宋体"/>
      <w:color w:val="000000"/>
      <w:szCs w:val="21"/>
    </w:rPr>
  </w:style>
  <w:style w:type="character" w:styleId="1422" w:customStyle="1">
    <w:name w:val="正文表格 Char"/>
    <w:link w:val="1421"/>
    <w:uiPriority w:val="0"/>
    <w:qFormat/>
    <w:rPr>
      <w:rFonts w:ascii="宋体" w:hAnsi="宋体"/>
      <w:color w:val="000000"/>
      <w:sz w:val="21"/>
      <w:szCs w:val="21"/>
    </w:rPr>
  </w:style>
  <w:style w:type="paragraph" w:styleId="1423" w:customStyle="1">
    <w:name w:val="正文重点"/>
    <w:basedOn w:val="1032"/>
    <w:link w:val="1424"/>
    <w:uiPriority w:val="0"/>
    <w:qFormat/>
    <w:pPr>
      <w:ind w:firstLine="482"/>
      <w:jc w:val="left"/>
      <w:spacing w:line="360" w:lineRule="auto"/>
    </w:pPr>
    <w:rPr>
      <w:b/>
      <w:sz w:val="24"/>
      <w:szCs w:val="20"/>
    </w:rPr>
  </w:style>
  <w:style w:type="character" w:styleId="1424" w:customStyle="1">
    <w:name w:val="正文重点 Char"/>
    <w:link w:val="1423"/>
    <w:uiPriority w:val="0"/>
    <w:qFormat/>
    <w:rPr>
      <w:b/>
      <w:sz w:val="24"/>
    </w:rPr>
  </w:style>
  <w:style w:type="paragraph" w:styleId="1425" w:customStyle="1">
    <w:name w:val="标题1-附件"/>
    <w:basedOn w:val="1222"/>
    <w:uiPriority w:val="0"/>
    <w:qFormat/>
    <w:pPr>
      <w:jc w:val="left"/>
    </w:pPr>
    <w:rPr>
      <w:sz w:val="24"/>
      <w:szCs w:val="24"/>
    </w:rPr>
  </w:style>
  <w:style w:type="paragraph" w:styleId="1426" w:customStyle="1">
    <w:name w:val="正文小标题"/>
    <w:basedOn w:val="1032"/>
    <w:next w:val="1243"/>
    <w:link w:val="1427"/>
    <w:uiPriority w:val="0"/>
    <w:qFormat/>
    <w:pPr>
      <w:ind w:firstLine="482"/>
      <w:jc w:val="left"/>
      <w:spacing w:before="312" w:after="312"/>
    </w:pPr>
    <w:rPr>
      <w:rFonts w:ascii="宋体" w:hAnsi="宋体"/>
      <w:b/>
      <w:i/>
      <w:color w:val="ff0000"/>
      <w:sz w:val="24"/>
      <w:szCs w:val="20"/>
    </w:rPr>
  </w:style>
  <w:style w:type="character" w:styleId="1427" w:customStyle="1">
    <w:name w:val="正文小标题 Char"/>
    <w:link w:val="1426"/>
    <w:uiPriority w:val="0"/>
    <w:qFormat/>
    <w:rPr>
      <w:rFonts w:ascii="宋体" w:hAnsi="宋体"/>
      <w:b/>
      <w:i/>
      <w:color w:val="ff0000"/>
      <w:sz w:val="24"/>
    </w:rPr>
  </w:style>
  <w:style w:type="paragraph" w:styleId="1428" w:customStyle="1">
    <w:name w:val="正文大标题"/>
    <w:basedOn w:val="1426"/>
    <w:next w:val="1243"/>
    <w:link w:val="1429"/>
    <w:uiPriority w:val="0"/>
    <w:qFormat/>
    <w:pPr>
      <w:jc w:val="center"/>
    </w:pPr>
    <w:rPr>
      <w:i w:val="0"/>
      <w:color w:val="000000"/>
      <w:sz w:val="28"/>
      <w:szCs w:val="21"/>
    </w:rPr>
  </w:style>
  <w:style w:type="character" w:styleId="1429" w:customStyle="1">
    <w:name w:val="正文大标题 Char"/>
    <w:link w:val="1428"/>
    <w:uiPriority w:val="0"/>
    <w:qFormat/>
    <w:rPr>
      <w:rFonts w:ascii="宋体" w:hAnsi="宋体"/>
      <w:b/>
      <w:color w:val="000000"/>
      <w:sz w:val="28"/>
      <w:szCs w:val="21"/>
    </w:rPr>
  </w:style>
  <w:style w:type="paragraph" w:styleId="1430" w:customStyle="1">
    <w:name w:val="注释"/>
    <w:basedOn w:val="1032"/>
    <w:link w:val="1431"/>
    <w:uiPriority w:val="0"/>
    <w:qFormat/>
    <w:pPr>
      <w:ind w:left="420" w:hanging="420"/>
      <w:jc w:val="left"/>
    </w:pPr>
    <w:rPr>
      <w:rFonts w:ascii="宋体" w:hAnsi="宋体"/>
      <w:szCs w:val="21"/>
    </w:rPr>
  </w:style>
  <w:style w:type="character" w:styleId="1431" w:customStyle="1">
    <w:name w:val="注释 Char"/>
    <w:link w:val="1430"/>
    <w:uiPriority w:val="0"/>
    <w:qFormat/>
    <w:rPr>
      <w:rFonts w:ascii="宋体" w:hAnsi="宋体"/>
      <w:sz w:val="21"/>
      <w:szCs w:val="21"/>
    </w:rPr>
  </w:style>
  <w:style w:type="paragraph" w:styleId="1432" w:customStyle="1">
    <w:name w:val="正文须知-1级"/>
    <w:basedOn w:val="1032"/>
    <w:next w:val="1032"/>
    <w:uiPriority w:val="0"/>
    <w:qFormat/>
    <w:pPr>
      <w:numPr>
        <w:ilvl w:val="0"/>
        <w:numId w:val="7"/>
      </w:numPr>
      <w:spacing w:line="300" w:lineRule="auto"/>
    </w:pPr>
    <w:rPr>
      <w:rFonts w:ascii="宋体" w:hAnsi="Calibri"/>
      <w:sz w:val="24"/>
      <w:szCs w:val="21"/>
    </w:rPr>
  </w:style>
  <w:style w:type="paragraph" w:styleId="1433" w:customStyle="1">
    <w:name w:val="正文须知-2级"/>
    <w:basedOn w:val="1032"/>
    <w:uiPriority w:val="0"/>
    <w:qFormat/>
    <w:pPr>
      <w:numPr>
        <w:ilvl w:val="1"/>
        <w:numId w:val="7"/>
      </w:numPr>
      <w:spacing w:line="300" w:lineRule="auto"/>
    </w:pPr>
    <w:rPr>
      <w:rFonts w:ascii="宋体" w:hAnsi="Calibri"/>
      <w:sz w:val="24"/>
      <w:szCs w:val="21"/>
    </w:rPr>
  </w:style>
  <w:style w:type="paragraph" w:styleId="1434" w:customStyle="1">
    <w:name w:val="正文须知-3级"/>
    <w:basedOn w:val="1032"/>
    <w:uiPriority w:val="0"/>
    <w:qFormat/>
    <w:pPr>
      <w:numPr>
        <w:ilvl w:val="2"/>
        <w:numId w:val="7"/>
      </w:numPr>
      <w:ind w:hanging="355"/>
      <w:spacing w:line="300" w:lineRule="auto"/>
    </w:pPr>
    <w:rPr>
      <w:rFonts w:ascii="宋体" w:hAnsi="Calibri"/>
      <w:sz w:val="24"/>
      <w:szCs w:val="21"/>
    </w:rPr>
  </w:style>
  <w:style w:type="character" w:styleId="1435" w:customStyle="1">
    <w:name w:val="纯文本 字符"/>
    <w:uiPriority w:val="99"/>
    <w:qFormat/>
    <w:rPr>
      <w:rFonts w:ascii="宋体" w:hAnsi="Courier New" w:eastAsia="宋体" w:cs="Times New Roman"/>
      <w:sz w:val="21"/>
      <w:szCs w:val="21"/>
      <w:lang w:val="en-US" w:eastAsia="zh-CN" w:bidi="ar-SA"/>
    </w:rPr>
  </w:style>
  <w:style w:type="paragraph" w:styleId="1436" w:customStyle="1">
    <w:name w:val="表格1"/>
    <w:basedOn w:val="1032"/>
    <w:uiPriority w:val="0"/>
    <w:qFormat/>
    <w:pPr>
      <w:ind w:firstLine="480"/>
      <w:jc w:val="center"/>
    </w:pPr>
    <w:rPr>
      <w:sz w:val="24"/>
      <w:szCs w:val="20"/>
    </w:rPr>
  </w:style>
  <w:style w:type="character" w:styleId="1437" w:customStyle="1">
    <w:name w:val="纯文本 字符1"/>
    <w:uiPriority w:val="0"/>
    <w:qFormat/>
    <w:rPr>
      <w:rFonts w:ascii="宋体" w:hAnsi="Courier New"/>
    </w:rPr>
  </w:style>
  <w:style w:type="character" w:styleId="1438" w:customStyle="1">
    <w:name w:val="bjh-p"/>
    <w:uiPriority w:val="0"/>
    <w:qFormat/>
  </w:style>
  <w:style w:type="paragraph" w:styleId="1439" w:customStyle="1">
    <w:name w:val="无标题条"/>
    <w:next w:val="1032"/>
    <w:uiPriority w:val="0"/>
    <w:qFormat/>
    <w:pPr>
      <w:jc w:val="both"/>
    </w:pPr>
    <w:rPr>
      <w:rFonts w:ascii="Times New Roman" w:hAnsi="Times New Roman" w:eastAsia="宋体" w:cs="Times New Roman"/>
      <w:sz w:val="21"/>
      <w:lang w:val="en-US" w:eastAsia="zh-CN" w:bidi="ar-SA"/>
    </w:rPr>
  </w:style>
  <w:style w:type="character" w:styleId="1440" w:customStyle="1">
    <w:name w:val="正文格式 Char"/>
    <w:link w:val="1441"/>
    <w:uiPriority w:val="0"/>
    <w:qFormat/>
    <w:rPr>
      <w:rFonts w:ascii="宋体" w:hAnsi="宋体"/>
      <w:sz w:val="24"/>
      <w:szCs w:val="24"/>
      <w:lang w:val="en-GB"/>
    </w:rPr>
  </w:style>
  <w:style w:type="paragraph" w:styleId="1441" w:customStyle="1">
    <w:name w:val="正文格式"/>
    <w:basedOn w:val="1032"/>
    <w:link w:val="1440"/>
    <w:uiPriority w:val="0"/>
    <w:qFormat/>
    <w:pPr>
      <w:ind w:firstLine="480"/>
      <w:spacing w:line="360" w:lineRule="auto"/>
    </w:pPr>
    <w:rPr>
      <w:rFonts w:ascii="宋体" w:hAnsi="宋体"/>
      <w:sz w:val="24"/>
      <w:lang w:val="en-GB"/>
    </w:rPr>
  </w:style>
  <w:style w:type="character" w:styleId="1442" w:customStyle="1">
    <w:name w:val="标题 3 字符1"/>
    <w:link w:val="1035"/>
    <w:uiPriority w:val="0"/>
    <w:qFormat/>
    <w:rPr>
      <w:rFonts w:ascii="宋体" w:eastAsia="宋体"/>
      <w:b/>
      <w:sz w:val="24"/>
      <w:u w:val="single"/>
      <w:lang w:val="en-US" w:eastAsia="zh-CN" w:bidi="ar-SA"/>
    </w:rPr>
  </w:style>
  <w:style w:type="character" w:styleId="1443" w:customStyle="1">
    <w:name w:val="正文缩进 Char"/>
    <w:uiPriority w:val="0"/>
    <w:qFormat/>
    <w:rPr>
      <w:rFonts w:ascii="宋体" w:eastAsia="宋体"/>
      <w:sz w:val="24"/>
      <w:szCs w:val="24"/>
      <w:lang w:val="en-US" w:eastAsia="zh-CN" w:bidi="ar-SA"/>
    </w:rPr>
  </w:style>
  <w:style w:type="character" w:styleId="1444" w:customStyle="1">
    <w:name w:val="Char Char111"/>
    <w:uiPriority w:val="0"/>
    <w:qFormat/>
    <w:rPr>
      <w:rFonts w:ascii="宋体" w:eastAsia="宋体"/>
      <w:b/>
      <w:sz w:val="24"/>
      <w:u w:val="single"/>
      <w:lang w:val="en-US" w:eastAsia="zh-CN" w:bidi="ar-SA"/>
    </w:rPr>
  </w:style>
  <w:style w:type="character" w:styleId="1445" w:customStyle="1">
    <w:name w:val="正文文本缩进 Char"/>
    <w:uiPriority w:val="0"/>
    <w:qFormat/>
    <w:rPr>
      <w:rFonts w:eastAsia="宋体"/>
      <w:sz w:val="24"/>
      <w:szCs w:val="24"/>
      <w:lang w:val="en-US" w:eastAsia="zh-CN" w:bidi="ar-SA"/>
    </w:rPr>
  </w:style>
  <w:style w:type="character" w:styleId="1446" w:customStyle="1">
    <w:name w:val="列出段落 Char"/>
    <w:uiPriority w:val="0"/>
    <w:qFormat/>
    <w:rPr>
      <w:rFonts w:ascii="Calibri" w:hAnsi="Calibri" w:eastAsia="宋体"/>
      <w:sz w:val="21"/>
      <w:szCs w:val="22"/>
      <w:lang w:val="en-US" w:eastAsia="zh-CN" w:bidi="ar-SA"/>
    </w:rPr>
  </w:style>
  <w:style w:type="character" w:styleId="1447" w:customStyle="1">
    <w:name w:val="页眉 Char"/>
    <w:uiPriority w:val="0"/>
    <w:qFormat/>
    <w:rPr>
      <w:rFonts w:eastAsia="宋体"/>
      <w:sz w:val="18"/>
      <w:szCs w:val="18"/>
      <w:lang w:val="en-US" w:eastAsia="zh-CN" w:bidi="ar-SA"/>
    </w:rPr>
  </w:style>
  <w:style w:type="character" w:styleId="1448" w:customStyle="1">
    <w:name w:val="标题 2 Char"/>
    <w:uiPriority w:val="0"/>
    <w:qFormat/>
    <w:rPr>
      <w:rFonts w:ascii="Arial" w:hAnsi="Arial" w:eastAsia="黑体"/>
      <w:b/>
      <w:sz w:val="30"/>
      <w:lang w:val="en-US" w:eastAsia="zh-CN" w:bidi="ar-SA"/>
    </w:rPr>
  </w:style>
  <w:style w:type="paragraph" w:styleId="1449" w:customStyle="1">
    <w:name w:val="字元 字元2"/>
    <w:basedOn w:val="1032"/>
    <w:uiPriority w:val="0"/>
    <w:qFormat/>
    <w:rPr>
      <w:rFonts w:ascii="Tahoma" w:hAnsi="Tahoma"/>
      <w:sz w:val="24"/>
      <w:szCs w:val="20"/>
    </w:rPr>
  </w:style>
  <w:style w:type="paragraph" w:styleId="1450" w:customStyle="1">
    <w:name w:val="Char3 Char Char Char2"/>
    <w:basedOn w:val="1032"/>
    <w:uiPriority w:val="0"/>
    <w:qFormat/>
    <w:rPr>
      <w:rFonts w:ascii="Tahoma" w:hAnsi="Tahoma"/>
      <w:sz w:val="24"/>
      <w:szCs w:val="20"/>
    </w:rPr>
  </w:style>
  <w:style w:type="paragraph" w:styleId="1451" w:customStyle="1">
    <w:name w:val="正文文本缩进2"/>
    <w:basedOn w:val="1032"/>
    <w:uiPriority w:val="0"/>
    <w:qFormat/>
    <w:pPr>
      <w:ind w:firstLine="480"/>
      <w:spacing w:line="480" w:lineRule="exact"/>
    </w:pPr>
    <w:rPr>
      <w:rFonts w:ascii="宋体" w:hAnsi="宋体"/>
      <w:sz w:val="24"/>
      <w:lang w:val="zh-CN"/>
    </w:rPr>
  </w:style>
  <w:style w:type="paragraph" w:styleId="1452" w:customStyle="1">
    <w:name w:val="Char3"/>
    <w:basedOn w:val="1032"/>
    <w:uiPriority w:val="0"/>
    <w:qFormat/>
    <w:pPr>
      <w:tabs>
        <w:tab w:val="left" w:pos="360" w:leader="none"/>
      </w:tabs>
    </w:pPr>
    <w:rPr>
      <w:sz w:val="24"/>
    </w:rPr>
  </w:style>
  <w:style w:type="paragraph" w:styleId="1453" w:customStyle="1">
    <w:name w:val="Char Char Char Char Char Char Char Char Char Char Char Char Char Char Char Char1"/>
    <w:basedOn w:val="1032"/>
    <w:uiPriority w:val="0"/>
    <w:qFormat/>
    <w:pPr>
      <w:jc w:val="center"/>
      <w:spacing w:after="160" w:line="240" w:lineRule="exact"/>
      <w:widowControl/>
    </w:pPr>
    <w:rPr>
      <w:rFonts w:ascii="宋体" w:hAnsi="宋体"/>
      <w:b/>
      <w:sz w:val="30"/>
      <w:szCs w:val="30"/>
      <w:lang w:eastAsia="en-US"/>
    </w:rPr>
  </w:style>
  <w:style w:type="paragraph" w:styleId="1454" w:customStyle="1">
    <w:name w:val="Char Char1 Char Char Char Char Char Char1"/>
    <w:basedOn w:val="1032"/>
    <w:uiPriority w:val="0"/>
    <w:qFormat/>
    <w:pPr>
      <w:jc w:val="left"/>
      <w:spacing w:after="160" w:line="240" w:lineRule="exact"/>
      <w:widowControl/>
    </w:pPr>
    <w:rPr>
      <w:rFonts w:ascii="Verdana" w:hAnsi="Verdana" w:eastAsia="仿宋_GB2312"/>
      <w:sz w:val="24"/>
      <w:szCs w:val="20"/>
      <w:lang w:eastAsia="en-US"/>
    </w:rPr>
  </w:style>
  <w:style w:type="paragraph" w:styleId="1455" w:customStyle="1">
    <w:name w:val="列出段落2"/>
    <w:basedOn w:val="1032"/>
    <w:uiPriority w:val="0"/>
    <w:qFormat/>
    <w:pPr>
      <w:ind w:firstLine="420"/>
    </w:pPr>
    <w:rPr>
      <w:rFonts w:ascii="Calibri" w:hAnsi="Calibri"/>
      <w:szCs w:val="22"/>
    </w:rPr>
  </w:style>
  <w:style w:type="paragraph" w:styleId="1456" w:customStyle="1">
    <w:name w:val="Char Char Char1 Char2"/>
    <w:basedOn w:val="1032"/>
    <w:uiPriority w:val="0"/>
    <w:qFormat/>
    <w:rPr>
      <w:rFonts w:ascii="Tahoma" w:hAnsi="Tahoma"/>
      <w:sz w:val="24"/>
      <w:szCs w:val="20"/>
    </w:rPr>
  </w:style>
  <w:style w:type="paragraph" w:styleId="1457" w:customStyle="1">
    <w:name w:val="Char Char Char2"/>
    <w:basedOn w:val="1032"/>
    <w:uiPriority w:val="0"/>
    <w:qFormat/>
    <w:rPr>
      <w:rFonts w:ascii="Tahoma" w:hAnsi="Tahoma"/>
      <w:sz w:val="24"/>
      <w:szCs w:val="20"/>
    </w:rPr>
  </w:style>
  <w:style w:type="paragraph" w:styleId="1458" w:customStyle="1">
    <w:name w:val="Char Char Char Char Char Char Char2"/>
    <w:basedOn w:val="1032"/>
    <w:uiPriority w:val="0"/>
    <w:qFormat/>
    <w:pPr>
      <w:ind w:firstLine="200"/>
      <w:spacing w:line="360" w:lineRule="auto"/>
    </w:pPr>
    <w:rPr>
      <w:rFonts w:eastAsia="仿宋_GB2312"/>
      <w:sz w:val="24"/>
    </w:rPr>
  </w:style>
  <w:style w:type="paragraph" w:styleId="1459" w:customStyle="1">
    <w:name w:val="正文缩进2"/>
    <w:basedOn w:val="1032"/>
    <w:uiPriority w:val="0"/>
    <w:qFormat/>
    <w:pPr>
      <w:ind w:firstLine="567"/>
      <w:spacing w:line="480" w:lineRule="exact"/>
      <w:widowControl/>
    </w:pPr>
    <w:rPr>
      <w:rFonts w:ascii="宋体"/>
      <w:color w:val="000000"/>
      <w:sz w:val="28"/>
      <w:szCs w:val="20"/>
      <w:lang w:val="zh-CN"/>
    </w:rPr>
  </w:style>
  <w:style w:type="paragraph" w:styleId="1460" w:customStyle="1">
    <w:name w:val="修订1"/>
    <w:uiPriority w:val="0"/>
    <w:qFormat/>
    <w:rPr>
      <w:rFonts w:ascii="Times New Roman" w:hAnsi="Times New Roman" w:eastAsia="宋体" w:cs="Times New Roman"/>
      <w:sz w:val="21"/>
      <w:szCs w:val="24"/>
      <w:lang w:val="en-US" w:eastAsia="zh-CN" w:bidi="ar-SA"/>
    </w:rPr>
  </w:style>
  <w:style w:type="paragraph" w:styleId="1461" w:customStyle="1">
    <w:name w:val="Char22"/>
    <w:basedOn w:val="1032"/>
    <w:uiPriority w:val="0"/>
    <w:qFormat/>
    <w:rPr>
      <w:rFonts w:ascii="Tahoma" w:hAnsi="Tahoma"/>
      <w:sz w:val="24"/>
      <w:szCs w:val="20"/>
    </w:rPr>
  </w:style>
  <w:style w:type="paragraph" w:styleId="1462" w:customStyle="1">
    <w:name w:val="Char Char Char Char Char Char Char Char Char Char2"/>
    <w:basedOn w:val="1032"/>
    <w:uiPriority w:val="0"/>
    <w:qFormat/>
    <w:rPr>
      <w:rFonts w:ascii="宋体" w:hAnsi="宋体" w:cs="Courier New"/>
      <w:sz w:val="32"/>
      <w:szCs w:val="32"/>
    </w:rPr>
  </w:style>
  <w:style w:type="paragraph" w:styleId="1463" w:customStyle="1">
    <w:name w:val="Char2 Char Char Char Char Char Char1"/>
    <w:basedOn w:val="1032"/>
    <w:uiPriority w:val="0"/>
    <w:qFormat/>
    <w:pPr>
      <w:jc w:val="center"/>
      <w:spacing w:line="400" w:lineRule="exact"/>
      <w:widowControl/>
    </w:pPr>
  </w:style>
  <w:style w:type="character" w:styleId="1464" w:customStyle="1">
    <w:name w:val="页脚 Char"/>
    <w:uiPriority w:val="0"/>
    <w:qFormat/>
    <w:rPr>
      <w:rFonts w:ascii="宋体" w:eastAsia="宋体"/>
      <w:sz w:val="18"/>
      <w:lang w:val="en-US" w:eastAsia="zh-CN" w:bidi="ar-SA"/>
    </w:rPr>
  </w:style>
  <w:style w:type="paragraph" w:styleId="1465" w:customStyle="1">
    <w:name w:val="Char Char41"/>
    <w:basedOn w:val="1032"/>
    <w:uiPriority w:val="0"/>
    <w:qFormat/>
    <w:pPr>
      <w:jc w:val="center"/>
      <w:spacing w:line="400" w:lineRule="exact"/>
      <w:widowControl/>
    </w:pPr>
  </w:style>
  <w:style w:type="character" w:styleId="1466" w:customStyle="1">
    <w:name w:val="批注文字 Char"/>
    <w:uiPriority w:val="99"/>
    <w:qFormat/>
    <w:rPr>
      <w:sz w:val="21"/>
      <w:szCs w:val="24"/>
    </w:rPr>
  </w:style>
  <w:style w:type="character" w:styleId="1467" w:customStyle="1">
    <w:name w:val="标题 Char"/>
    <w:uiPriority w:val="0"/>
    <w:qFormat/>
    <w:rPr>
      <w:b/>
      <w:sz w:val="32"/>
    </w:rPr>
  </w:style>
  <w:style w:type="paragraph" w:styleId="1468" w:customStyle="1">
    <w:name w:val="图例"/>
    <w:basedOn w:val="1032"/>
    <w:uiPriority w:val="0"/>
    <w:qFormat/>
    <w:pPr>
      <w:jc w:val="center"/>
      <w:spacing w:before="120" w:after="120" w:line="360" w:lineRule="auto"/>
    </w:pPr>
    <w:rPr>
      <w:rFonts w:eastAsia="仿宋_GB2312"/>
      <w:b/>
      <w:sz w:val="24"/>
      <w:szCs w:val="20"/>
    </w:rPr>
  </w:style>
  <w:style w:type="table" w:styleId="146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0" w:customStyle="1">
    <w:name w:val="Table Paragraph"/>
    <w:basedOn w:val="1032"/>
    <w:uiPriority w:val="1"/>
    <w:qFormat/>
    <w:pPr>
      <w:jc w:val="left"/>
    </w:pPr>
    <w:rPr>
      <w:rFonts w:ascii="宋体" w:hAnsi="宋体" w:cs="宋体"/>
      <w:sz w:val="22"/>
      <w:szCs w:val="22"/>
      <w:lang w:eastAsia="en-US"/>
    </w:rPr>
  </w:style>
  <w:style w:type="paragraph" w:styleId="1471" w:customStyle="1">
    <w:name w:val="成文日期"/>
    <w:basedOn w:val="1032"/>
    <w:link w:val="1472"/>
    <w:uiPriority w:val="0"/>
    <w:qFormat/>
    <w:pPr>
      <w:ind w:right="400" w:firstLine="200"/>
      <w:jc w:val="right"/>
      <w:spacing w:line="570" w:lineRule="exact"/>
    </w:pPr>
    <w:rPr>
      <w:rFonts w:ascii="仿宋_GB2312" w:eastAsia="仿宋_GB2312"/>
      <w:sz w:val="32"/>
      <w:szCs w:val="20"/>
    </w:rPr>
  </w:style>
  <w:style w:type="character" w:styleId="1472" w:customStyle="1">
    <w:name w:val="成文日期 Char"/>
    <w:link w:val="1471"/>
    <w:uiPriority w:val="0"/>
    <w:qFormat/>
    <w:rPr>
      <w:rFonts w:ascii="仿宋_GB2312" w:eastAsia="仿宋_GB2312"/>
      <w:sz w:val="32"/>
    </w:rPr>
  </w:style>
  <w:style w:type="paragraph" w:styleId="1473" w:customStyle="1">
    <w:name w:val="修订2"/>
    <w:uiPriority w:val="99"/>
    <w:unhideWhenUsed/>
    <w:qFormat/>
    <w:rPr>
      <w:rFonts w:ascii="Times New Roman" w:hAnsi="Times New Roman" w:eastAsia="宋体" w:cs="Times New Roman"/>
      <w:sz w:val="21"/>
      <w:szCs w:val="24"/>
      <w:lang w:val="en-US" w:eastAsia="zh-CN" w:bidi="ar-SA"/>
    </w:rPr>
  </w:style>
  <w:style w:type="character" w:styleId="1474" w:customStyle="1">
    <w:name w:val="c-icon28"/>
    <w:uiPriority w:val="0"/>
    <w:qFormat/>
  </w:style>
  <w:style w:type="character" w:styleId="1475" w:customStyle="1">
    <w:name w:val="hover23"/>
    <w:uiPriority w:val="0"/>
    <w:qFormat/>
  </w:style>
  <w:style w:type="character" w:styleId="1476" w:customStyle="1">
    <w:name w:val="hover24"/>
    <w:uiPriority w:val="0"/>
    <w:qFormat/>
    <w:rPr>
      <w:color w:val="315efb"/>
    </w:rPr>
  </w:style>
  <w:style w:type="character" w:styleId="1477" w:customStyle="1">
    <w:name w:val="hover25"/>
    <w:uiPriority w:val="0"/>
    <w:qFormat/>
    <w:rPr>
      <w:color w:val="315efb"/>
    </w:rPr>
  </w:style>
  <w:style w:type="character" w:styleId="1478" w:customStyle="1">
    <w:name w:val="content-right_8zs401"/>
    <w:uiPriority w:val="0"/>
    <w:qFormat/>
  </w:style>
  <w:style w:type="character" w:styleId="1479" w:customStyle="1">
    <w:name w:val="hover26"/>
    <w:uiPriority w:val="0"/>
    <w:qFormat/>
  </w:style>
  <w:style w:type="character" w:styleId="1480" w:customStyle="1">
    <w:name w:val="hover27"/>
    <w:uiPriority w:val="0"/>
    <w:qFormat/>
    <w:rPr>
      <w:color w:val="315efb"/>
    </w:rPr>
  </w:style>
  <w:style w:type="character" w:styleId="1481" w:customStyle="1">
    <w:name w:val="hover28"/>
    <w:uiPriority w:val="0"/>
    <w:qFormat/>
    <w:rPr>
      <w:color w:val="315efb"/>
    </w:rPr>
  </w:style>
  <w:style w:type="character" w:styleId="1482" w:customStyle="1">
    <w:name w:val="c-icon26"/>
    <w:uiPriority w:val="0"/>
    <w:qFormat/>
  </w:style>
  <w:style w:type="paragraph" w:styleId="1483">
    <w:name w:val="List Paragraph"/>
    <w:basedOn w:val="1032"/>
    <w:uiPriority w:val="34"/>
    <w:qFormat/>
    <w:pPr>
      <w:ind w:firstLine="420"/>
    </w:pPr>
    <w:rPr>
      <w:rFonts w:ascii="Calibri" w:hAnsi="Calibri"/>
      <w:szCs w:val="22"/>
    </w:rPr>
  </w:style>
  <w:style w:type="paragraph" w:styleId="1484" w:customStyle="1">
    <w:name w:val="申报正文"/>
    <w:basedOn w:val="1032"/>
    <w:uiPriority w:val="0"/>
    <w:qFormat/>
    <w:pPr>
      <w:ind w:left="170" w:hanging="170"/>
      <w:spacing w:line="360" w:lineRule="auto"/>
      <w:tabs>
        <w:tab w:val="left" w:pos="420" w:leader="none"/>
      </w:tabs>
    </w:pPr>
    <w:rPr>
      <w:rFonts w:eastAsia="仿宋_GB2312" w:cs="宋体"/>
      <w:sz w:val="28"/>
      <w:szCs w:val="20"/>
    </w:rPr>
  </w:style>
  <w:style w:type="paragraph" w:styleId="1485" w:customStyle="1">
    <w:name w:val="☆ 正文"/>
    <w:basedOn w:val="1032"/>
    <w:uiPriority w:val="0"/>
    <w:qFormat/>
    <w:rPr>
      <w:rFonts w:ascii="Calibri" w:hAnsi="Calibri"/>
      <w:szCs w:val="22"/>
      <w:lang w:val="zh-CN"/>
    </w:rPr>
  </w:style>
  <w:style w:type="paragraph" w:styleId="1486" w:customStyle="1">
    <w:name w:val="首行缩进"/>
    <w:basedOn w:val="1032"/>
    <w:uiPriority w:val="0"/>
    <w:qFormat/>
    <w:pPr>
      <w:ind w:firstLine="480"/>
    </w:pPr>
    <w:rPr>
      <w:rFonts w:ascii="Calibri" w:hAnsi="Calibri"/>
      <w:lang w:val="zh-CN"/>
    </w:rPr>
  </w:style>
  <w:style w:type="paragraph" w:styleId="1487" w:customStyle="1">
    <w:name w:val="UserStyle_82"/>
    <w:uiPriority w:val="0"/>
    <w:qFormat/>
    <w:rPr>
      <w:rFonts w:ascii="宋体" w:hAnsi="Times New Roman" w:eastAsia="宋体" w:cs="Times New Roman"/>
      <w:color w:val="000000"/>
      <w:sz w:val="24"/>
      <w:szCs w:val="24"/>
      <w:lang w:val="en-US" w:eastAsia="zh-CN" w:bidi="ar-SA"/>
    </w:rPr>
  </w:style>
  <w:style w:type="character" w:styleId="1488" w:customStyle="1">
    <w:name w:val="font91"/>
    <w:uiPriority w:val="0"/>
    <w:qFormat/>
    <w:rPr>
      <w:rFonts w:hint="eastAsia" w:ascii="宋体" w:hAnsi="宋体" w:eastAsia="宋体" w:cs="宋体"/>
      <w:b/>
      <w:bCs/>
      <w:color w:val="000000"/>
      <w:sz w:val="12"/>
      <w:szCs w:val="12"/>
      <w:u w:val="none"/>
    </w:rPr>
  </w:style>
  <w:style w:type="character" w:styleId="1489" w:customStyle="1">
    <w:name w:val="font112"/>
    <w:uiPriority w:val="0"/>
    <w:qFormat/>
    <w:rPr>
      <w:rFonts w:hint="eastAsia" w:ascii="宋体" w:hAnsi="宋体" w:eastAsia="宋体" w:cs="宋体"/>
      <w:color w:val="000000"/>
      <w:sz w:val="12"/>
      <w:szCs w:val="12"/>
      <w:u w:val="none"/>
    </w:rPr>
  </w:style>
  <w:style w:type="character" w:styleId="1490" w:customStyle="1">
    <w:name w:val="font11"/>
    <w:uiPriority w:val="0"/>
    <w:qFormat/>
    <w:rPr>
      <w:rFonts w:hint="eastAsia" w:ascii="宋体" w:hAnsi="宋体" w:eastAsia="宋体" w:cs="宋体"/>
      <w:b/>
      <w:bCs/>
      <w:color w:val="000000"/>
      <w:sz w:val="12"/>
      <w:szCs w:val="12"/>
      <w:u w:val="none"/>
    </w:rPr>
  </w:style>
  <w:style w:type="character" w:styleId="1491" w:customStyle="1">
    <w:name w:val="font121"/>
    <w:uiPriority w:val="0"/>
    <w:qFormat/>
    <w:rPr>
      <w:rFonts w:hint="eastAsia" w:ascii="宋体" w:hAnsi="宋体" w:eastAsia="宋体" w:cs="宋体"/>
      <w:color w:val="000000"/>
      <w:sz w:val="12"/>
      <w:szCs w:val="12"/>
      <w:u w:val="none"/>
    </w:rPr>
  </w:style>
  <w:style w:type="character" w:styleId="1492" w:customStyle="1">
    <w:name w:val="font01"/>
    <w:uiPriority w:val="0"/>
    <w:qFormat/>
    <w:rPr>
      <w:rFonts w:hint="eastAsia" w:ascii="宋体" w:hAnsi="宋体" w:eastAsia="宋体" w:cs="宋体"/>
      <w:color w:val="000000"/>
      <w:sz w:val="12"/>
      <w:szCs w:val="12"/>
      <w:u w:val="none"/>
    </w:rPr>
  </w:style>
  <w:style w:type="character" w:styleId="1493" w:customStyle="1">
    <w:name w:val="font161"/>
    <w:uiPriority w:val="0"/>
    <w:qFormat/>
    <w:rPr>
      <w:rFonts w:hint="eastAsia" w:ascii="宋体" w:hAnsi="宋体" w:eastAsia="宋体" w:cs="宋体"/>
      <w:color w:val="000000"/>
      <w:sz w:val="12"/>
      <w:szCs w:val="12"/>
      <w:u w:val="none"/>
    </w:rPr>
  </w:style>
  <w:style w:type="character" w:styleId="1494" w:customStyle="1">
    <w:name w:val="font151"/>
    <w:uiPriority w:val="0"/>
    <w:qFormat/>
    <w:rPr>
      <w:rFonts w:ascii="Times New Roman" w:hAnsi="Times New Roman" w:cs="Times New Roman"/>
      <w:color w:val="000000"/>
      <w:sz w:val="12"/>
      <w:szCs w:val="12"/>
      <w:u w:val="none"/>
    </w:rPr>
  </w:style>
  <w:style w:type="character" w:styleId="1495" w:customStyle="1">
    <w:name w:val="NormalCharacter1"/>
    <w:uiPriority w:val="0"/>
    <w:qFormat/>
  </w:style>
  <w:style w:type="paragraph" w:styleId="1496" w:customStyle="1">
    <w:name w:val="Plain Text1"/>
    <w:next w:val="1274"/>
    <w:uiPriority w:val="0"/>
    <w:qFormat/>
    <w:pPr>
      <w:jc w:val="both"/>
      <w:widowControl w:val="off"/>
    </w:pPr>
    <w:rPr>
      <w:rFonts w:ascii="宋体" w:hAnsi="宋体" w:eastAsia="楷体_GB2312" w:cs="Times New Roman"/>
      <w:sz w:val="26"/>
      <w:szCs w:val="22"/>
      <w:lang w:val="en-US" w:eastAsia="zh-CN" w:bidi="ar-SA"/>
    </w:rPr>
  </w:style>
  <w:style w:type="paragraph" w:styleId="1497" w:customStyle="1">
    <w:name w:val="普通(网站)1"/>
    <w:basedOn w:val="1032"/>
    <w:uiPriority w:val="99"/>
    <w:unhideWhenUsed/>
    <w:qFormat/>
    <w:pPr>
      <w:jc w:val="left"/>
      <w:spacing w:before="100" w:beforeAutospacing="1" w:after="100" w:afterAutospacing="1"/>
      <w:widowControl/>
    </w:pPr>
    <w:rPr>
      <w:rFonts w:ascii="宋体" w:hAnsi="宋体" w:cs="宋体"/>
      <w:sz w:val="24"/>
    </w:rPr>
  </w:style>
  <w:style w:type="paragraph" w:styleId="1498" w:customStyle="1">
    <w:name w:val="一、"/>
    <w:basedOn w:val="1032"/>
    <w:uiPriority w:val="0"/>
    <w:qFormat/>
    <w:pPr>
      <w:ind w:firstLine="640"/>
    </w:pPr>
    <w:rPr>
      <w:rFonts w:eastAsia="黑体"/>
      <w:szCs w:val="32"/>
    </w:rPr>
  </w:style>
  <w:style w:type="paragraph" w:styleId="1499" w:customStyle="1">
    <w:name w:val="正文_1_0"/>
    <w:uiPriority w:val="0"/>
    <w:qFormat/>
    <w:pPr>
      <w:jc w:val="both"/>
      <w:widowControl w:val="off"/>
    </w:pPr>
    <w:rPr>
      <w:rFonts w:ascii="Times New Roman" w:hAnsi="Times New Roman" w:eastAsia="宋体" w:cs="Times New Roman"/>
      <w:sz w:val="21"/>
      <w:lang w:val="en-US" w:eastAsia="zh-CN" w:bidi="ar-SA"/>
    </w:rPr>
  </w:style>
  <w:style w:type="paragraph" w:styleId="150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501"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character" w:styleId="1502" w:customStyle="1">
    <w:name w:val="批注文字 字符2"/>
    <w:basedOn w:val="1042"/>
    <w:link w:val="1046"/>
    <w:uiPriority w:val="99"/>
    <w:semiHidden/>
    <w:qFormat/>
    <w:rPr>
      <w:sz w:val="21"/>
      <w:szCs w:val="24"/>
    </w:rPr>
  </w:style>
  <w:style w:type="character" w:styleId="1503" w:customStyle="1">
    <w:name w:val="批注主题 字符1"/>
    <w:basedOn w:val="1502"/>
    <w:link w:val="1066"/>
    <w:uiPriority w:val="99"/>
    <w:semiHidden/>
    <w:qFormat/>
    <w:rPr>
      <w:b/>
      <w:bCs/>
      <w:sz w:val="21"/>
      <w:szCs w:val="24"/>
    </w:rPr>
  </w:style>
  <w:style w:type="numbering" w:styleId="1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江苏华溯工程项目管理有限公司</cp:lastModifiedBy>
  <cp:revision>12</cp:revision>
  <dcterms:created xsi:type="dcterms:W3CDTF">2022-05-31T00:08:00Z</dcterms:created>
  <dcterms:modified xsi:type="dcterms:W3CDTF">2026-06-05T09:17:13Z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F7A6D15083FE4A13AA46506FA8958A03_13</vt:lpwstr>
  </property>
  <property fmtid="{D5CDD505-2E9C-101B-9397-08002B2CF9AE}" pid="4" name="KSOTemplateDocerSaveRecord">
    <vt:lpwstr>eyJoZGlkIjoiMjZjNDBiNjM0MDM0NmRkYjUwNzQ0M2Q5ODMzNTEyODMiLCJ1c2VySWQiOiI0NjQyMzkwNjgifQ==</vt:lpwstr>
  </property>
</Properties>
</file>